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7E17" w14:textId="77777777" w:rsidR="00FD1BAF" w:rsidRDefault="00000000">
      <w:pPr>
        <w:pStyle w:val="Heading1"/>
      </w:pPr>
      <w:bookmarkStart w:id="0" w:name="X71065b08e3078d6756011e72137a5608b994331"/>
      <w:r>
        <w:t>BSI Forward-Looking IFRS 9 — Documentation Index</w:t>
      </w:r>
    </w:p>
    <w:p w14:paraId="04E212B9" w14:textId="77777777" w:rsidR="00FD1BAF" w:rsidRDefault="00000000">
      <w:pPr>
        <w:pStyle w:val="FirstParagraph"/>
      </w:pPr>
      <w:r>
        <w:t>This folder contains technical documentation for the BSI forward-looking risk modeling system used to produce IFRS 9 probability-of-default (PD) term structures.</w:t>
      </w:r>
    </w:p>
    <w:p w14:paraId="6FF4F8EE" w14:textId="77777777" w:rsidR="00FD1BAF" w:rsidRDefault="00000000">
      <w:r>
        <w:pict w14:anchorId="17005812">
          <v:rect id="_x0000_i1025" style="width:0;height:1.5pt" o:hralign="center" o:hrstd="t" o:hr="t"/>
        </w:pict>
      </w:r>
    </w:p>
    <w:p w14:paraId="23FEA55E" w14:textId="77777777" w:rsidR="00FD1BAF" w:rsidRDefault="00000000">
      <w:pPr>
        <w:pStyle w:val="Heading2"/>
      </w:pPr>
      <w:bookmarkStart w:id="1" w:name="contents"/>
      <w:r>
        <w:t>Contents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FD1BAF" w14:paraId="72CB59C9" w14:textId="77777777" w:rsidTr="00FD1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7B1AD7FE" w14:textId="77777777" w:rsidR="00FD1BAF" w:rsidRDefault="00000000">
            <w:pPr>
              <w:pStyle w:val="Compact"/>
            </w:pPr>
            <w:r>
              <w:t>File</w:t>
            </w:r>
          </w:p>
        </w:tc>
        <w:tc>
          <w:tcPr>
            <w:tcW w:w="5418" w:type="dxa"/>
          </w:tcPr>
          <w:p w14:paraId="4FDD2B1A" w14:textId="77777777" w:rsidR="00FD1BAF" w:rsidRDefault="00000000">
            <w:pPr>
              <w:pStyle w:val="Compact"/>
            </w:pPr>
            <w:r>
              <w:t>Description</w:t>
            </w:r>
          </w:p>
        </w:tc>
      </w:tr>
      <w:tr w:rsidR="00FD1BAF" w14:paraId="521D0EAD" w14:textId="77777777">
        <w:tc>
          <w:tcPr>
            <w:tcW w:w="2501" w:type="dxa"/>
          </w:tcPr>
          <w:p w14:paraId="7E406FF3" w14:textId="77777777" w:rsidR="00FD1BAF" w:rsidRDefault="00000000">
            <w:pPr>
              <w:pStyle w:val="Compact"/>
            </w:pPr>
            <w:hyperlink r:id="rId5">
              <w:r>
                <w:rPr>
                  <w:rStyle w:val="Hyperlink"/>
                </w:rPr>
                <w:t>overview.md</w:t>
              </w:r>
            </w:hyperlink>
          </w:p>
        </w:tc>
        <w:tc>
          <w:tcPr>
            <w:tcW w:w="5418" w:type="dxa"/>
          </w:tcPr>
          <w:p w14:paraId="0913A7E7" w14:textId="77777777" w:rsidR="00FD1BAF" w:rsidRDefault="00000000">
            <w:pPr>
              <w:pStyle w:val="Compact"/>
            </w:pPr>
            <w:r>
              <w:t>System architecture, components, and data flow</w:t>
            </w:r>
          </w:p>
        </w:tc>
      </w:tr>
      <w:tr w:rsidR="00FD1BAF" w14:paraId="7DE8830B" w14:textId="77777777">
        <w:tc>
          <w:tcPr>
            <w:tcW w:w="2501" w:type="dxa"/>
          </w:tcPr>
          <w:p w14:paraId="3FC8E0CF" w14:textId="77777777" w:rsidR="00FD1BAF" w:rsidRDefault="00000000">
            <w:pPr>
              <w:pStyle w:val="Compact"/>
            </w:pPr>
            <w:hyperlink r:id="rId6">
              <w:r>
                <w:rPr>
                  <w:rStyle w:val="Hyperlink"/>
                </w:rPr>
                <w:t>pipeline.md</w:t>
              </w:r>
            </w:hyperlink>
          </w:p>
        </w:tc>
        <w:tc>
          <w:tcPr>
            <w:tcW w:w="5418" w:type="dxa"/>
          </w:tcPr>
          <w:p w14:paraId="18653680" w14:textId="77777777" w:rsidR="00FD1BAF" w:rsidRDefault="00000000">
            <w:pPr>
              <w:pStyle w:val="Compact"/>
            </w:pPr>
            <w:r>
              <w:t>End-to-end processing pipeline with inputs, outputs, and configuration</w:t>
            </w:r>
          </w:p>
        </w:tc>
      </w:tr>
      <w:tr w:rsidR="00FD1BAF" w14:paraId="29FCC3AB" w14:textId="77777777">
        <w:tc>
          <w:tcPr>
            <w:tcW w:w="2501" w:type="dxa"/>
          </w:tcPr>
          <w:p w14:paraId="5BF84630" w14:textId="77777777" w:rsidR="00FD1BAF" w:rsidRDefault="00000000">
            <w:pPr>
              <w:pStyle w:val="Compact"/>
            </w:pPr>
            <w:hyperlink r:id="rId7">
              <w:r>
                <w:rPr>
                  <w:rStyle w:val="Hyperlink"/>
                </w:rPr>
                <w:t>statistical-methods.md</w:t>
              </w:r>
            </w:hyperlink>
          </w:p>
        </w:tc>
        <w:tc>
          <w:tcPr>
            <w:tcW w:w="5418" w:type="dxa"/>
          </w:tcPr>
          <w:p w14:paraId="5EA98FC1" w14:textId="77777777" w:rsidR="00FD1BAF" w:rsidRDefault="00000000">
            <w:pPr>
              <w:pStyle w:val="Compact"/>
            </w:pPr>
            <w:r>
              <w:t>Statistical methods: ODR z-score, ADF, OLS, ARIMA, binomial model</w:t>
            </w:r>
          </w:p>
        </w:tc>
      </w:tr>
      <w:tr w:rsidR="00FD1BAF" w14:paraId="5158455C" w14:textId="77777777">
        <w:tc>
          <w:tcPr>
            <w:tcW w:w="2501" w:type="dxa"/>
          </w:tcPr>
          <w:p w14:paraId="60EB47D1" w14:textId="77777777" w:rsidR="00FD1BAF" w:rsidRDefault="00000000">
            <w:pPr>
              <w:pStyle w:val="Compact"/>
            </w:pPr>
            <w:hyperlink r:id="rId8">
              <w:r>
                <w:rPr>
                  <w:rStyle w:val="Hyperlink"/>
                </w:rPr>
                <w:t>database-schema.md</w:t>
              </w:r>
            </w:hyperlink>
          </w:p>
        </w:tc>
        <w:tc>
          <w:tcPr>
            <w:tcW w:w="5418" w:type="dxa"/>
          </w:tcPr>
          <w:p w14:paraId="3D2F0ED1" w14:textId="77777777" w:rsidR="00FD1BAF" w:rsidRDefault="00000000">
            <w:pPr>
              <w:pStyle w:val="Compact"/>
            </w:pPr>
            <w:r>
              <w:t>Full database table reference (input, config, and non-</w:t>
            </w:r>
            <w:r>
              <w:rPr>
                <w:rStyle w:val="VerbatimChar"/>
              </w:rPr>
              <w:t>Py</w:t>
            </w:r>
            <w:r>
              <w:t xml:space="preserve"> output tables)</w:t>
            </w:r>
          </w:p>
        </w:tc>
      </w:tr>
      <w:tr w:rsidR="00FD1BAF" w14:paraId="6322AE29" w14:textId="77777777">
        <w:tc>
          <w:tcPr>
            <w:tcW w:w="2501" w:type="dxa"/>
          </w:tcPr>
          <w:p w14:paraId="4269C7AB" w14:textId="77777777" w:rsidR="00FD1BAF" w:rsidRDefault="00000000">
            <w:pPr>
              <w:pStyle w:val="Compact"/>
            </w:pPr>
            <w:hyperlink r:id="rId9">
              <w:r>
                <w:rPr>
                  <w:rStyle w:val="Hyperlink"/>
                </w:rPr>
                <w:t>py_tables_reference.md</w:t>
              </w:r>
            </w:hyperlink>
          </w:p>
        </w:tc>
        <w:tc>
          <w:tcPr>
            <w:tcW w:w="5418" w:type="dxa"/>
          </w:tcPr>
          <w:p w14:paraId="6F1DBE84" w14:textId="77777777" w:rsidR="00FD1BAF" w:rsidRDefault="00000000">
            <w:pPr>
              <w:pStyle w:val="Compact"/>
            </w:pPr>
            <w:r>
              <w:t>Python output tables (</w:t>
            </w:r>
            <w:r>
              <w:rPr>
                <w:rStyle w:val="VerbatimChar"/>
              </w:rPr>
              <w:t>Py*</w:t>
            </w:r>
            <w:r>
              <w:t>) — columns and pipeline order</w:t>
            </w:r>
          </w:p>
        </w:tc>
      </w:tr>
      <w:tr w:rsidR="00FD1BAF" w14:paraId="4198BBCD" w14:textId="77777777">
        <w:tc>
          <w:tcPr>
            <w:tcW w:w="2501" w:type="dxa"/>
          </w:tcPr>
          <w:p w14:paraId="44803D6D" w14:textId="77777777" w:rsidR="00FD1BAF" w:rsidRDefault="00000000">
            <w:pPr>
              <w:pStyle w:val="Compact"/>
            </w:pPr>
            <w:hyperlink r:id="rId10">
              <w:r>
                <w:rPr>
                  <w:rStyle w:val="Hyperlink"/>
                </w:rPr>
                <w:t>configuration.md</w:t>
              </w:r>
            </w:hyperlink>
          </w:p>
        </w:tc>
        <w:tc>
          <w:tcPr>
            <w:tcW w:w="5418" w:type="dxa"/>
          </w:tcPr>
          <w:p w14:paraId="06C152F9" w14:textId="77777777" w:rsidR="00FD1BAF" w:rsidRDefault="00000000">
            <w:pPr>
              <w:pStyle w:val="Compact"/>
            </w:pPr>
            <w:r>
              <w:t>Environment variables and runtime configuration</w:t>
            </w:r>
          </w:p>
        </w:tc>
      </w:tr>
      <w:tr w:rsidR="00FD1BAF" w14:paraId="50E52833" w14:textId="77777777">
        <w:tc>
          <w:tcPr>
            <w:tcW w:w="2501" w:type="dxa"/>
          </w:tcPr>
          <w:p w14:paraId="1B697ACC" w14:textId="77777777" w:rsidR="00FD1BAF" w:rsidRDefault="00000000">
            <w:pPr>
              <w:pStyle w:val="Compact"/>
            </w:pPr>
            <w:hyperlink r:id="rId11">
              <w:r>
                <w:rPr>
                  <w:rStyle w:val="Hyperlink"/>
                </w:rPr>
                <w:t>modules.md</w:t>
              </w:r>
            </w:hyperlink>
          </w:p>
        </w:tc>
        <w:tc>
          <w:tcPr>
            <w:tcW w:w="5418" w:type="dxa"/>
          </w:tcPr>
          <w:p w14:paraId="389896FD" w14:textId="77777777" w:rsidR="00FD1BAF" w:rsidRDefault="00000000">
            <w:pPr>
              <w:pStyle w:val="Compact"/>
            </w:pPr>
            <w:r>
              <w:t>Per-module reference (purpose, key functions, dependencies)</w:t>
            </w:r>
          </w:p>
        </w:tc>
      </w:tr>
      <w:tr w:rsidR="00FD1BAF" w14:paraId="529EAF35" w14:textId="77777777">
        <w:tc>
          <w:tcPr>
            <w:tcW w:w="2501" w:type="dxa"/>
          </w:tcPr>
          <w:p w14:paraId="02440087" w14:textId="77777777" w:rsidR="00FD1BAF" w:rsidRDefault="00000000">
            <w:pPr>
              <w:pStyle w:val="Compact"/>
            </w:pPr>
            <w:hyperlink r:id="rId12">
              <w:r>
                <w:rPr>
                  <w:rStyle w:val="Hyperlink"/>
                </w:rPr>
                <w:t>parallel-processing.md</w:t>
              </w:r>
            </w:hyperlink>
          </w:p>
        </w:tc>
        <w:tc>
          <w:tcPr>
            <w:tcW w:w="5418" w:type="dxa"/>
          </w:tcPr>
          <w:p w14:paraId="05D4DFE9" w14:textId="77777777" w:rsidR="00FD1BAF" w:rsidRDefault="00000000">
            <w:pPr>
              <w:pStyle w:val="Compact"/>
            </w:pPr>
            <w:r>
              <w:t>How dual-executor parallel processing works, regression job lifecycle, zombie prevention</w:t>
            </w:r>
          </w:p>
        </w:tc>
      </w:tr>
    </w:tbl>
    <w:p w14:paraId="2CB4729E" w14:textId="77777777" w:rsidR="00FD1BAF" w:rsidRDefault="00000000">
      <w:r>
        <w:pict w14:anchorId="033F5D6B">
          <v:rect id="_x0000_i1026" style="width:0;height:1.5pt" o:hralign="center" o:hrstd="t" o:hr="t"/>
        </w:pict>
      </w:r>
    </w:p>
    <w:p w14:paraId="219DD0F2" w14:textId="77777777" w:rsidR="00FD1BAF" w:rsidRDefault="00000000">
      <w:pPr>
        <w:pStyle w:val="Heading2"/>
      </w:pPr>
      <w:bookmarkStart w:id="2" w:name="quick-reference-processing-pipeline"/>
      <w:bookmarkEnd w:id="1"/>
      <w:r>
        <w:t>Quick Reference: Processing Pipeline</w:t>
      </w:r>
    </w:p>
    <w:p w14:paraId="3E659A92" w14:textId="77777777" w:rsidR="00FD1BAF" w:rsidRDefault="00000000">
      <w:pPr>
        <w:pStyle w:val="SourceCode"/>
      </w:pPr>
      <w:r>
        <w:rPr>
          <w:rStyle w:val="VerbatimChar"/>
        </w:rPr>
        <w:t>Raw MEV / ODR</w:t>
      </w:r>
      <w:r>
        <w:br/>
      </w:r>
      <w:r>
        <w:rPr>
          <w:rStyle w:val="VerbatimChar"/>
        </w:rPr>
        <w:t xml:space="preserve">  → [1] Cleansing</w:t>
      </w:r>
      <w:r>
        <w:br/>
      </w:r>
      <w:r>
        <w:rPr>
          <w:rStyle w:val="VerbatimChar"/>
        </w:rPr>
        <w:t xml:space="preserve">  → [2] MEV Standardization (z-score)</w:t>
      </w:r>
      <w:r>
        <w:br/>
      </w:r>
      <w:r>
        <w:rPr>
          <w:rStyle w:val="VerbatimChar"/>
        </w:rPr>
        <w:t xml:space="preserve">  → [3] MEV Transformation  (diff, lag, ln, exp, …)</w:t>
      </w:r>
      <w:r>
        <w:br/>
      </w:r>
      <w:r>
        <w:rPr>
          <w:rStyle w:val="VerbatimChar"/>
        </w:rPr>
        <w:t xml:space="preserve">  → [4] ODR Transformation  (z-score standardization)</w:t>
      </w:r>
      <w:r>
        <w:br/>
      </w:r>
      <w:r>
        <w:rPr>
          <w:rStyle w:val="VerbatimChar"/>
        </w:rPr>
        <w:t xml:space="preserve">  → [5] Stationarity Test   (ADF)</w:t>
      </w:r>
      <w:r>
        <w:br/>
      </w:r>
      <w:r>
        <w:rPr>
          <w:rStyle w:val="VerbatimChar"/>
        </w:rPr>
        <w:t xml:space="preserve">  → [6] Correlation Filter  (Pearson / Univariate)</w:t>
      </w:r>
      <w:r>
        <w:br/>
      </w:r>
      <w:r>
        <w:rPr>
          <w:rStyle w:val="VerbatimChar"/>
        </w:rPr>
        <w:t xml:space="preserve">  → [7] Expected Trend Filter</w:t>
      </w:r>
      <w:r>
        <w:br/>
      </w:r>
      <w:r>
        <w:rPr>
          <w:rStyle w:val="VerbatimChar"/>
        </w:rPr>
        <w:t xml:space="preserve">  → [8] MEV Combination Generation</w:t>
      </w:r>
      <w:r>
        <w:br/>
      </w:r>
      <w:r>
        <w:rPr>
          <w:rStyle w:val="VerbatimChar"/>
        </w:rPr>
        <w:t xml:space="preserve">  → [9] MEV Clustering</w:t>
      </w:r>
      <w:r>
        <w:br/>
      </w:r>
      <w:r>
        <w:rPr>
          <w:rStyle w:val="VerbatimChar"/>
        </w:rPr>
        <w:t xml:space="preserve">  → [10] OLS Regression     (BLUE tests)</w:t>
      </w:r>
      <w:r>
        <w:br/>
      </w:r>
      <w:r>
        <w:rPr>
          <w:rStyle w:val="VerbatimChar"/>
        </w:rPr>
        <w:t xml:space="preserve">  → [11] ARIMA Forecast     (MEV scenarios)</w:t>
      </w:r>
      <w:r>
        <w:br/>
      </w:r>
      <w:r>
        <w:rPr>
          <w:rStyle w:val="VerbatimChar"/>
        </w:rPr>
        <w:t xml:space="preserve">  → [12] Forecast Transform</w:t>
      </w:r>
      <w:r>
        <w:br/>
      </w:r>
      <w:r>
        <w:rPr>
          <w:rStyle w:val="VerbatimChar"/>
        </w:rPr>
        <w:t xml:space="preserve">  → [13] Scenario Weighting</w:t>
      </w:r>
      <w:r>
        <w:br/>
      </w:r>
      <w:r>
        <w:rPr>
          <w:rStyle w:val="VerbatimChar"/>
        </w:rPr>
        <w:t xml:space="preserve">  → [14] ODR Prediction</w:t>
      </w:r>
      <w:r>
        <w:br/>
      </w:r>
      <w:r>
        <w:rPr>
          <w:rStyle w:val="VerbatimChar"/>
        </w:rPr>
        <w:t xml:space="preserve">  → [15] Scaling Factor Solver</w:t>
      </w:r>
      <w:r>
        <w:br/>
      </w:r>
      <w:r>
        <w:rPr>
          <w:rStyle w:val="VerbatimChar"/>
        </w:rPr>
        <w:t xml:space="preserve">  → [16] Forward-Looking Term Structure</w:t>
      </w:r>
      <w:r>
        <w:br/>
      </w:r>
      <w:r>
        <w:rPr>
          <w:rStyle w:val="VerbatimChar"/>
        </w:rPr>
        <w:lastRenderedPageBreak/>
        <w:t xml:space="preserve">         ↓</w:t>
      </w:r>
      <w:r>
        <w:br/>
      </w:r>
      <w:r>
        <w:rPr>
          <w:rStyle w:val="VerbatimChar"/>
        </w:rPr>
        <w:t xml:space="preserve">  [Special] Binomial / Interpolation / FL Impact</w:t>
      </w:r>
    </w:p>
    <w:p w14:paraId="5AE7B7E4" w14:textId="77777777" w:rsidR="00FD1BAF" w:rsidRDefault="00000000">
      <w:r>
        <w:pict w14:anchorId="30EF9229">
          <v:rect id="_x0000_i1027" style="width:0;height:1.5pt" o:hralign="center" o:hrstd="t" o:hr="t"/>
        </w:pict>
      </w:r>
    </w:p>
    <w:p w14:paraId="06869267" w14:textId="77777777" w:rsidR="00FD1BAF" w:rsidRDefault="00000000">
      <w:pPr>
        <w:pStyle w:val="Heading2"/>
      </w:pPr>
      <w:bookmarkStart w:id="3" w:name="key-concepts"/>
      <w:bookmarkEnd w:id="2"/>
      <w:r>
        <w:t>Key Concepts</w:t>
      </w:r>
    </w:p>
    <w:p w14:paraId="73AB3475" w14:textId="77777777" w:rsidR="00FD1B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Activity Code</w:t>
      </w:r>
      <w:r>
        <w:t>: Unique identifier linking all tables for one workflow execution.</w:t>
      </w:r>
    </w:p>
    <w:p w14:paraId="0A0871CE" w14:textId="229A453B" w:rsidR="00FD1B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ODR (Ob</w:t>
      </w:r>
      <w:r w:rsidR="00821E55">
        <w:rPr>
          <w:b/>
          <w:bCs/>
        </w:rPr>
        <w:t xml:space="preserve">served </w:t>
      </w:r>
      <w:r>
        <w:rPr>
          <w:b/>
          <w:bCs/>
        </w:rPr>
        <w:t>Default Rate)</w:t>
      </w:r>
      <w:r>
        <w:t>: The target variable modeled as a function of MEVs.</w:t>
      </w:r>
    </w:p>
    <w:p w14:paraId="0102A4B6" w14:textId="77777777" w:rsidR="00FD1B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ODR Transformation</w:t>
      </w:r>
      <w:r>
        <w:t xml:space="preserve">: Z-score standardization — </w:t>
      </w:r>
      <w:r>
        <w:rPr>
          <w:rStyle w:val="VerbatimChar"/>
        </w:rPr>
        <w:t>z = (ODR - μ) / σ</w:t>
      </w:r>
      <w:r>
        <w:t xml:space="preserve"> using in-sample statistics.</w:t>
      </w:r>
    </w:p>
    <w:p w14:paraId="5D75886C" w14:textId="77777777" w:rsidR="00FD1B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MEV (Macroeconomic Variable)</w:t>
      </w:r>
      <w:r>
        <w:t>: Explanatory variables (e.g., GDP growth, inflation).</w:t>
      </w:r>
    </w:p>
    <w:p w14:paraId="00FF7AD2" w14:textId="77777777" w:rsidR="00FD1B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PIT PD</w:t>
      </w:r>
      <w:r>
        <w:t>: Point-in-time probability of default (forward-looking).</w:t>
      </w:r>
    </w:p>
    <w:p w14:paraId="64177239" w14:textId="77777777" w:rsidR="00FD1B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TTC PD</w:t>
      </w:r>
      <w:r>
        <w:t>: Through-the-cycle probability of default (historical average).</w:t>
      </w:r>
    </w:p>
    <w:p w14:paraId="7285EDCA" w14:textId="77777777" w:rsidR="00FD1B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FL Year</w:t>
      </w:r>
      <w:r>
        <w:t>: Forward-looking year index (1 = next year, 2 = year after, …).</w:t>
      </w:r>
      <w:bookmarkEnd w:id="0"/>
      <w:bookmarkEnd w:id="3"/>
    </w:p>
    <w:sectPr w:rsidR="00FD1B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E6B3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10A1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43684020">
    <w:abstractNumId w:val="0"/>
  </w:num>
  <w:num w:numId="2" w16cid:durableId="726342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BAF"/>
    <w:rsid w:val="00821E55"/>
    <w:rsid w:val="00853C10"/>
    <w:rsid w:val="00FD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AB3D6"/>
  <w15:docId w15:val="{04519EDF-4886-49E1-8D0A-9E7D9395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atabase-schema.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statistical-methods.md" TargetMode="External"/><Relationship Id="rId12" Type="http://schemas.openxmlformats.org/officeDocument/2006/relationships/hyperlink" Target="parallel-processing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ipeline.md" TargetMode="External"/><Relationship Id="rId11" Type="http://schemas.openxmlformats.org/officeDocument/2006/relationships/hyperlink" Target="modules.md" TargetMode="External"/><Relationship Id="rId5" Type="http://schemas.openxmlformats.org/officeDocument/2006/relationships/hyperlink" Target="overview.md" TargetMode="External"/><Relationship Id="rId10" Type="http://schemas.openxmlformats.org/officeDocument/2006/relationships/hyperlink" Target="configurat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y_tables_reference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Evelyn Sierra</cp:lastModifiedBy>
  <cp:revision>2</cp:revision>
  <dcterms:created xsi:type="dcterms:W3CDTF">2026-03-30T06:57:00Z</dcterms:created>
  <dcterms:modified xsi:type="dcterms:W3CDTF">2026-03-30T06:57:00Z</dcterms:modified>
</cp:coreProperties>
</file>