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Research Collaboration Proposal</w:t>
      </w:r>
    </w:p>
    <w:p>
      <w:r>
        <w:rPr>
          <w:i/>
          <w:color w:val="334455"/>
          <w:sz w:val="24"/>
        </w:rPr>
        <w:t>Securing Autonomous AI Agents: Supply-Chain Screening, Credential Revocation, and Verifiable Accountability</w:t>
      </w:r>
    </w:p>
    <w:p/>
    <w:p>
      <w:pPr>
        <w:spacing w:before="200" w:after="80"/>
      </w:pPr>
      <w:r>
        <w:rPr>
          <w:rFonts w:ascii="Calibri" w:hAnsi="Calibri"/>
          <w:b/>
          <w:color w:val="1A3355"/>
          <w:sz w:val="26"/>
        </w:rPr>
        <w:t>1. Why now, and why this problem</w:t>
      </w:r>
    </w:p>
    <w:p>
      <w:pPr>
        <w:spacing w:after="120"/>
      </w:pPr>
      <w:r>
        <w:t>An agent's blast radius is determined by the tools it can call, not by its weights. In eighteen months the ecosystem has moved from agents with a few hand-written tools to agents that install third-party capabilities — MCP servers, skills, plugins — from public registries with essentially no review.</w:t>
      </w:r>
    </w:p>
    <w:p>
      <w:pPr>
        <w:spacing w:after="120"/>
      </w:pPr>
      <w:r>
        <w:t>Three findings define the gap:</w:t>
      </w:r>
    </w:p>
    <w:p>
      <w:pPr>
        <w:pStyle w:val="ListBullet"/>
        <w:spacing w:after="40"/>
      </w:pPr>
      <w:r>
        <w:t>Prevalence. Large-scale audits of public agent-skill registries report that roughly a quarter of scanned skills carry at least one security vulnerability, spanning more than a dozen distinct patterns.</w:t>
      </w:r>
    </w:p>
    <w:p>
      <w:pPr>
        <w:pStyle w:val="ListBullet"/>
        <w:spacing w:after="40"/>
      </w:pPr>
      <w:r>
        <w:t>Detector fragility. In a controlled evaluation of eight open-source skill scanners, a single malicious skill evaded all eight using encoding, homoglyph substitution, paraphrase and bundled-code techniques.</w:t>
      </w:r>
    </w:p>
    <w:p>
      <w:pPr>
        <w:pStyle w:val="ListBullet"/>
        <w:spacing w:after="40"/>
      </w:pPr>
      <w:r>
        <w:t>Tooling mismatch. Signature-based malware infrastructure does not recognise agent-targeted payloads; catalogues of thousands of malicious agent-facing tools show conventional scanning services missing the majority.</w:t>
      </w:r>
    </w:p>
    <w:p>
      <w:pPr>
        <w:spacing w:after="120"/>
      </w:pPr>
      <w:r>
        <w:t>Underneath the supply-chain problem sits an identity problem. A perfectly screened tool still becomes dangerous when the agent invoking it holds a long-lived, broadly-scoped credential that nobody can revoke quickly. Standards bodies have started saying this plainly: agents are commonly deployed as generic service accounts, with no dedicated identity, authorization or accountability controls.</w:t>
      </w:r>
    </w:p>
    <w:p>
      <w:pPr>
        <w:spacing w:after="120"/>
      </w:pPr>
      <w:r>
        <w:t>Screening, revocation and accountability are usually pursued as separate literatures. I believe they are one control loop — decide what an agent may install, revoke it quickly when that decision was wrong, and prove afterwards what it actually did. Directions 1 to 3 below are that loop.</w:t>
      </w:r>
    </w:p>
    <w:p>
      <w:pPr>
        <w:spacing w:after="120"/>
      </w:pPr>
      <w:r>
        <w:rPr>
          <w:b/>
        </w:rPr>
        <w:t xml:space="preserve">The core is already built. </w:t>
      </w:r>
      <w:r>
        <w:t>The sandbox-and-verify auditing agent that Direction 1 retargets is not hypothetical: it exists today as a working, tested system — a four-stage pipeline (comprehend, plan, classify, self-correct) behind a read-only sandbox, with a hash-chained audit trail, evaluated on 121 real annotated contracts from the SmartBugs curated corpus. I report its result honestly, including where it currently trails a rule-based baseline; that measured baseline is exactly what makes the adversarial-screening and public-benchmark work below the valuable next step rather than a restatement. The architecture and the exploit-corpus schema are in the attached technical appendix, and I can share the repository before we speak.</w:t>
      </w:r>
    </w:p>
    <w:p>
      <w:pPr>
        <w:spacing w:before="200" w:after="80"/>
      </w:pPr>
      <w:r>
        <w:rPr>
          <w:rFonts w:ascii="Calibri" w:hAnsi="Calibri"/>
          <w:b/>
          <w:color w:val="1A3355"/>
          <w:sz w:val="26"/>
        </w:rPr>
        <w:t>2. The five directions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F1F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#</w:t>
            </w:r>
          </w:p>
        </w:tc>
        <w:tc>
          <w:tcPr>
            <w:tcW w:type="dxa" w:w="2880"/>
            <w:shd w:val="clear" w:color="auto" w:fill="EDF1F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Direction</w:t>
            </w:r>
          </w:p>
        </w:tc>
        <w:tc>
          <w:tcPr>
            <w:tcW w:type="dxa" w:w="2880"/>
            <w:shd w:val="clear" w:color="auto" w:fill="EDF1F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Fit with your published work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Agent-skill and MCP supply-chain screening, with a public benchmark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Extends your IoT and microservices supply-chain security research into the agent era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Credential revocation for autonomous agents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Direct extension of your smart-contract key revocation work in IoT/WoT environments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Tamper-evident audit trail for regulated agents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Applies your blockchain expertise to the accountability gap regulators have named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Explainable runtime intrusion detection for agents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Closest to your ensemble intrusion-detection and explainable-ML work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Clinical agent safety benchmark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Draws on your healthcare informatics and explainable-ML record</w:t>
            </w:r>
          </w:p>
        </w:tc>
      </w:tr>
    </w:tbl>
    <w:p/>
    <w:p>
      <w:pPr>
        <w:spacing w:after="120"/>
      </w:pPr>
      <w:r>
        <w:t>My recommendation is Direction 1, with Direction 2 as the alternative if you would rather build on your own line of work, and Direction 3 as the natural joint follow-on. Directions 4 and 5 are genuine and I would be glad to pursue either, but I would suggest attaching them to an active track rather than running them standalone — I explain why in each section.</w:t>
      </w:r>
    </w:p>
    <w:p>
      <w:pPr>
        <w:spacing w:before="200" w:after="80"/>
      </w:pPr>
      <w:r>
        <w:rPr>
          <w:rFonts w:ascii="Calibri" w:hAnsi="Calibri"/>
          <w:b/>
          <w:color w:val="1A3355"/>
          <w:sz w:val="26"/>
        </w:rPr>
        <w:t>3. Direction 1 — Agent-skill and MCP supply-chain screening</w:t>
      </w:r>
    </w:p>
    <w:p>
      <w:pPr>
        <w:spacing w:after="120"/>
      </w:pPr>
      <w:r>
        <w:t>Recommended starting point.</w:t>
      </w:r>
    </w:p>
    <w:p>
      <w:pPr>
        <w:spacing w:after="120"/>
      </w:pPr>
      <w:r>
        <w:t>What we would build. A screening system that survives adversarial evasion, and a labelled public benchmark that makes competing detectors comparable for the first time.</w:t>
      </w:r>
    </w:p>
    <w:p>
      <w:pPr>
        <w:pStyle w:val="ListBullet"/>
        <w:spacing w:after="40"/>
      </w:pPr>
      <w:r>
        <w:t>Manifest analysis — permission and verb extraction, capability diffing across versions to detect privilege creep between releases of the same skill.</w:t>
      </w:r>
    </w:p>
    <w:p>
      <w:pPr>
        <w:pStyle w:val="ListBullet"/>
        <w:spacing w:after="40"/>
      </w:pPr>
      <w:r>
        <w:t>Prompt-layer analysis — implicit tool poisoning, instruction smuggling in descriptions and docstrings, and the encoding and homoglyph families that defeated existing scanners.</w:t>
      </w:r>
    </w:p>
    <w:p>
      <w:pPr>
        <w:pStyle w:val="ListBullet"/>
        <w:spacing w:after="40"/>
      </w:pPr>
      <w:r>
        <w:t>Behavioural analysis — execute each skill in a read-only sandbox, capture actual syscall, network and tool egress, and diff observed behaviour against declared capability. This is the sandbox-and-verify structure from my contract auditing work, retargeted.</w:t>
      </w:r>
    </w:p>
    <w:p>
      <w:pPr>
        <w:pStyle w:val="ListBullet"/>
        <w:spacing w:after="40"/>
      </w:pPr>
      <w:r>
        <w:t>Benchmark — a versioned corpus of benign and malicious skills with provenance and a held-out split, released publicly.</w:t>
      </w:r>
    </w:p>
    <w:p>
      <w:pPr>
        <w:pStyle w:val="ListBullet"/>
        <w:spacing w:after="40"/>
      </w:pPr>
      <w:r>
        <w:t>Leaderboard website — a public, live site that hosts the benchmark, ranks submitted detectors on the held-out split, and gives the corpus a citable home. This is the artifact other groups return to, and the one that turns a dataset into a reference.</w:t>
      </w:r>
    </w:p>
    <w:p>
      <w:pPr>
        <w:spacing w:after="120"/>
      </w:pPr>
      <w:r>
        <w:t>How it would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1F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Months</w:t>
            </w:r>
          </w:p>
        </w:tc>
        <w:tc>
          <w:tcPr>
            <w:tcW w:type="dxa" w:w="4320"/>
            <w:shd w:val="clear" w:color="auto" w:fill="EDF1F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Work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Threat taxonomy; collect 500–1,000 skills and MCP servers from public registries; define vulnerability classes for annotation.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1–2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Reproduce published evasion techniques against existing open-source scanners. This baseline comparison is a publishable result in itself and costs almost nothing additional.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2–3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Static analyzer: manifest permissions, capability diffing, prompt-layer injection detection.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Provisional patent filing on the capability-diff and behavioural-divergence method, before any public release.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Sandbox runner with syscall, network and tool-egress capture.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Corpus labelling, held-out split, benchmark v1.0 and evaluation harness.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 release, technical report, leaderboard website, standards consultation response.</w:t>
            </w:r>
          </w:p>
        </w:tc>
      </w:tr>
    </w:tbl>
    <w:p/>
    <w:p>
      <w:pPr>
        <w:spacing w:after="120"/>
      </w:pPr>
      <w:r>
        <w:t>Why I recommend it. It is the area with the most attention and the least settled tooling, which means a well-built benchmark becomes the reference other groups cite rather than one paper among many. It also produces a defensible patent and an adoptable artifact from the same nine months of work, and it creates the corpus that Direction 4 would otherwise have to build from scratch.</w:t>
      </w:r>
    </w:p>
    <w:p>
      <w:pPr>
        <w:spacing w:after="120"/>
      </w:pPr>
      <w:r>
        <w:rPr>
          <w:b/>
        </w:rPr>
        <w:t xml:space="preserve">Division of labour. </w:t>
      </w:r>
      <w:r>
        <w:t>I build and file; you scope, review, and lend your name. Concretely: I deliver the screening tool (open source), the labelled benchmark and its leaderboard website, and the provisional patent on the capability-diff and behavioural-divergence method. From you I would ask scoping judgement on the threat taxonomy, review of the evaluation design, your name on the outputs, and — if you would like it — the paper, led from your side. No compute or data purchase is required: the corpus is drawn from public registries, and I can begin immediately.</w:t>
      </w:r>
    </w:p>
    <w:p>
      <w:pPr>
        <w:spacing w:before="200" w:after="80"/>
      </w:pPr>
      <w:r>
        <w:rPr>
          <w:rFonts w:ascii="Calibri" w:hAnsi="Calibri"/>
          <w:b/>
          <w:color w:val="1A3355"/>
          <w:sz w:val="26"/>
        </w:rPr>
        <w:t>4. Direction 2 — Credential revocation for autonomous agents</w:t>
      </w:r>
    </w:p>
    <w:p>
      <w:pPr>
        <w:spacing w:after="120"/>
      </w:pPr>
      <w:r>
        <w:t>Strongest alternative; the closest fit to your own published work.</w:t>
      </w:r>
    </w:p>
    <w:p>
      <w:pPr>
        <w:spacing w:after="120"/>
      </w:pPr>
      <w:r>
        <w:t>What we would build. Your smart-contract-based key revocation scheme for IoT/WoT environments solves a problem that agent infrastructure is about to meet in a harder form. A revoked IoT device is passive. A revoked agent is not: it may be mid-task, holding cached capability tokens, open tool sessions, and delegations it has already issued to sub-agents. Revoking it correctly means revoking a tree, with a propagation guarantee, fast enough to matter.</w:t>
      </w:r>
    </w:p>
    <w:p>
      <w:pPr>
        <w:pStyle w:val="ListBullet"/>
        <w:spacing w:after="40"/>
      </w:pPr>
      <w:r>
        <w:t>Per-agent identity distinct from the human principal, with delegation chains recording who authorized what, under which scope, and for how long.</w:t>
      </w:r>
    </w:p>
    <w:p>
      <w:pPr>
        <w:pStyle w:val="ListBullet"/>
        <w:spacing w:after="40"/>
      </w:pPr>
      <w:r>
        <w:t>Task-scoped capability tokens that expire on task completion rather than on a fixed calendar, behind a deny-by-default tool gate.</w:t>
      </w:r>
    </w:p>
    <w:p>
      <w:pPr>
        <w:pStyle w:val="ListBullet"/>
        <w:spacing w:after="40"/>
      </w:pPr>
      <w:r>
        <w:t>Cascading revocation — revoking a parent invalidates the delegations it issued, with a stated and measured propagation guarantee.</w:t>
      </w:r>
    </w:p>
    <w:p>
      <w:pPr>
        <w:pStyle w:val="ListBullet"/>
        <w:spacing w:after="40"/>
      </w:pPr>
      <w:r>
        <w:t>A Solidity revocation registry, plus the agent-side enforcement library that actually honours it.</w:t>
      </w:r>
    </w:p>
    <w:p>
      <w:pPr>
        <w:spacing w:after="120"/>
      </w:pPr>
      <w:r>
        <w:t>How it would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1F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Months</w:t>
            </w:r>
          </w:p>
        </w:tc>
        <w:tc>
          <w:tcPr>
            <w:tcW w:type="dxa" w:w="4320"/>
            <w:shd w:val="clear" w:color="auto" w:fill="EDF1F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Work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Formalise the delegation-tree threat model; specify cascading revocation semantics and the propagation guarantee to be proven.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Revocation registry contract and agent-side enforcement library.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Provisional patent filing on cascading revocation with propagation guarantee, co-invented.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Reference implementation of task-scoped capability tokens behind a deny-by-default gate.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Measurement: revocation propagation latency and on-chain cost under load.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 release and joint paper at a venue of your choosing.</w:t>
            </w:r>
          </w:p>
        </w:tc>
      </w:tr>
    </w:tbl>
    <w:p/>
    <w:p>
      <w:pPr>
        <w:spacing w:after="120"/>
      </w:pPr>
      <w:r>
        <w:t>Why it is compelling. This is the direction where you are already the domain expert, which makes it the lowest-risk collaboration of the five and the one most likely to produce work you would want to keep building on. The measurements are the contribution — a revocation protocol that nobody has benchmarked under load is a design note, not a result.</w:t>
      </w:r>
    </w:p>
    <w:p>
      <w:pPr>
        <w:spacing w:before="200" w:after="80"/>
      </w:pPr>
      <w:r>
        <w:rPr>
          <w:rFonts w:ascii="Calibri" w:hAnsi="Calibri"/>
          <w:b/>
          <w:color w:val="1A3355"/>
          <w:sz w:val="26"/>
        </w:rPr>
        <w:t>5. Direction 3 — Tamper-evident audit trail for regulated agents</w:t>
      </w:r>
    </w:p>
    <w:p>
      <w:pPr>
        <w:spacing w:after="120"/>
      </w:pPr>
      <w:r>
        <w:t>Recommended as the joint follow-on once Direction 1 or 2 is running.</w:t>
      </w:r>
    </w:p>
    <w:p>
      <w:pPr>
        <w:spacing w:after="120"/>
      </w:pPr>
      <w:r>
        <w:t>What we would build. An append-only, hash-chained record of what an agent actually did, with digests anchored on-chain so that a party who does not trust the operator can still verify the log was not rewritten after an incident. Digests only — never payloads, so no client or patient data reaches a public ledger.</w:t>
      </w:r>
    </w:p>
    <w:p>
      <w:pPr>
        <w:pStyle w:val="ListBullet"/>
        <w:spacing w:after="40"/>
      </w:pPr>
      <w:r>
        <w:t>Hash-chained logging library with Merkle batching, so anchoring cost stays flat as event volume grows.</w:t>
      </w:r>
    </w:p>
    <w:p>
      <w:pPr>
        <w:pStyle w:val="ListBullet"/>
        <w:spacing w:after="40"/>
      </w:pPr>
      <w:r>
        <w:t>An independent verifier that runs without our infrastructure. This is the actual product: a log only anyone can check is a log nobody need trust us about.</w:t>
      </w:r>
    </w:p>
    <w:p>
      <w:pPr>
        <w:pStyle w:val="ListBullet"/>
        <w:spacing w:after="40"/>
      </w:pPr>
      <w:r>
        <w:t>A cost model against real retention horizons — regulated advice and trading records run to roughly seven years — demonstrating the curve is linear and bounded.</w:t>
      </w:r>
    </w:p>
    <w:p>
      <w:pPr>
        <w:pStyle w:val="ListBullet"/>
        <w:spacing w:after="40"/>
      </w:pPr>
      <w:r>
        <w:t>A published format specification and a response to the open consultation on securing AI agent systems.</w:t>
      </w:r>
    </w:p>
    <w:p>
      <w:pPr>
        <w:spacing w:after="120"/>
      </w:pPr>
      <w:r>
        <w:t>Why it matters now. Of the five, this has the clearest regulatory pull. It maps onto named, dated compliance obligations rather than a research trend, and auditors have begun asking for runtime evidence of what an agent did rather than configuration screenshots. It depends on the trace format that Direction 1 or 2 will have established, which is why I propose it second rather than first.</w:t>
      </w:r>
    </w:p>
    <w:p>
      <w:pPr>
        <w:spacing w:before="200" w:after="80"/>
      </w:pPr>
      <w:r>
        <w:rPr>
          <w:rFonts w:ascii="Calibri" w:hAnsi="Calibri"/>
          <w:b/>
          <w:color w:val="1A3355"/>
          <w:sz w:val="26"/>
        </w:rPr>
        <w:t>6. Direction 4 — Explainable runtime intrusion detection for agents</w:t>
      </w:r>
    </w:p>
    <w:p>
      <w:pPr>
        <w:spacing w:after="120"/>
      </w:pPr>
      <w:r>
        <w:t>Strong fit with your existing line; best pursued attached to Direction 1.</w:t>
      </w:r>
    </w:p>
    <w:p>
      <w:pPr>
        <w:spacing w:after="120"/>
      </w:pPr>
      <w:r>
        <w:t>What we would build. Anomaly detection over agent tool-call traces, with an explanation layer that tells a reviewer why a particular call was flagged. Your ensemble-based intrusion detection work for smart city protection, and your explainable machine learning framework in Scientific Reports, are both directly applicable — the detection substrate transfers, and the explanation requirement is the same one clinicians and analysts impose.</w:t>
      </w:r>
    </w:p>
    <w:p>
      <w:pPr>
        <w:pStyle w:val="ListBullet"/>
        <w:spacing w:after="40"/>
      </w:pPr>
      <w:r>
        <w:t>Instrument tool-call traces; build normal-behaviour baselines per agent role.</w:t>
      </w:r>
    </w:p>
    <w:p>
      <w:pPr>
        <w:pStyle w:val="ListBullet"/>
        <w:spacing w:after="40"/>
      </w:pPr>
      <w:r>
        <w:t>Ensemble detector with an explanation layer over each flagged call.</w:t>
      </w:r>
    </w:p>
    <w:p>
      <w:pPr>
        <w:pStyle w:val="ListBullet"/>
        <w:spacing w:after="40"/>
      </w:pPr>
      <w:r>
        <w:t>Evaluation against a labelled corpus of genuinely malicious agent behaviour.</w:t>
      </w:r>
    </w:p>
    <w:p>
      <w:pPr>
        <w:spacing w:after="120"/>
      </w:pPr>
      <w:r>
        <w:rPr>
          <w:b/>
        </w:rPr>
        <w:t xml:space="preserve">An honest note on sequencing. </w:t>
      </w:r>
      <w:r>
        <w:t>This direction needs a labelled corpus of real malicious agent behaviour to be evaluated credibly, and no good public one exists yet — which is precisely what Direction 1 produces. Run standalone, the detector would have to be evaluated on synthetic data, and reviewers discount that heavily. Run after or alongside Direction 1, it inherits a defensible evaluation set and becomes a considerably stronger result. I would therefore propose it as a second phase rather than an entry point, unless you have access to a labelled trace corpus I am not aware of — in which case it becomes immediately viable and I would be glad to start here.</w:t>
      </w:r>
    </w:p>
    <w:p>
      <w:pPr>
        <w:spacing w:before="200" w:after="80"/>
      </w:pPr>
      <w:r>
        <w:rPr>
          <w:rFonts w:ascii="Calibri" w:hAnsi="Calibri"/>
          <w:b/>
          <w:color w:val="1A3355"/>
          <w:sz w:val="26"/>
        </w:rPr>
        <w:t>7. Direction 5 — Clinical agent safety benchmark</w:t>
      </w:r>
    </w:p>
    <w:p>
      <w:pPr>
        <w:spacing w:after="120"/>
      </w:pPr>
      <w:r>
        <w:t>Viable and well-matched to your healthcare record; a different problem domain.</w:t>
      </w:r>
    </w:p>
    <w:p>
      <w:pPr>
        <w:spacing w:after="120"/>
      </w:pPr>
      <w:r>
        <w:t>What we would build. A safety benchmark for agents acting on clinical data and workflows — what a clinical agent must refuse, what it must escalate, and what it must never do autonomously. Your explainable machine learning work on hospital length-of-stay prediction and my work with Prof. Liantao Ma at Peking University MedX and Prof. Junyi Gao at the University of Edinburgh's Centre for Medical Informatics, on ICU physiological time-series and MIMIC-IV and VitalDB pipelines, give this a credible foundation on both sides.</w:t>
      </w:r>
    </w:p>
    <w:p>
      <w:pPr>
        <w:pStyle w:val="ListBullet"/>
        <w:spacing w:after="40"/>
      </w:pPr>
      <w:r>
        <w:t>Task suite covering refusal, escalation and autonomy boundaries for clinical agents.</w:t>
      </w:r>
    </w:p>
    <w:p>
      <w:pPr>
        <w:pStyle w:val="ListBullet"/>
        <w:spacing w:after="40"/>
      </w:pPr>
      <w:r>
        <w:t>Governance note on data handling and de-identification.</w:t>
      </w:r>
    </w:p>
    <w:p>
      <w:pPr>
        <w:pStyle w:val="ListBullet"/>
        <w:spacing w:after="40"/>
      </w:pPr>
      <w:r>
        <w:t>Release through an established dataset host with a citable identifier.</w:t>
      </w:r>
    </w:p>
    <w:p>
      <w:pPr>
        <w:spacing w:after="120"/>
      </w:pPr>
      <w:r>
        <w:rPr>
          <w:b/>
        </w:rPr>
        <w:t xml:space="preserve">An honest note on scope. </w:t>
      </w:r>
      <w:r>
        <w:t>This is real work and I would enjoy it, but it addresses clinical safety rather than the agent security questions in Directions 1 to 3, and it carries data governance overhead that the others do not. If your priority is the security research path you described, I would hold this one. If you have an active clinical collaboration where it would land well, it becomes considerably more attractive and I am ready to contribute.</w:t>
      </w:r>
    </w:p>
    <w:p>
      <w:pPr>
        <w:spacing w:before="200" w:after="80"/>
      </w:pPr>
      <w:r>
        <w:rPr>
          <w:rFonts w:ascii="Calibri" w:hAnsi="Calibri"/>
          <w:b/>
          <w:color w:val="1A3355"/>
          <w:sz w:val="26"/>
        </w:rPr>
        <w:t>8. Sequencing, outputs, and one constraint</w:t>
      </w:r>
    </w:p>
    <w:p>
      <w:pPr>
        <w:spacing w:after="120"/>
      </w:pPr>
      <w:r>
        <w:t>A single constraint that shapes every timeline. Public disclosure ahead of a provisional patent filing forecloses protection. Wherever a direction produces both a filing and an open release, the filing must come first. I have placed each filing gate at month three to four, before the corresponding public release. This protects joint intellectual property, and it is the one part of the schedule I would ask not to compress.</w:t>
      </w:r>
    </w:p>
    <w:p>
      <w:pPr>
        <w:spacing w:after="120"/>
      </w:pPr>
      <w:r>
        <w:t>Outputs across the recommended arc.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1F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Output</w:t>
            </w:r>
          </w:p>
        </w:tc>
        <w:tc>
          <w:tcPr>
            <w:tcW w:type="dxa" w:w="4320"/>
            <w:shd w:val="clear" w:color="auto" w:fill="EDF1F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Form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Screening tool / revocation library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Open source, permissive licence, public repository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Benchmark corpus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Public, versioned, citable identifier, with evaluation harness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Benchmark leaderboard website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Public, live, hosted; ranks detectors on the held-out split and gives the corpus a citable home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Provisional patent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Filed before public release; inventorship as agreed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Measurement dataset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Published alongside the implementation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Standards contribution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Written response to the open consultation on securing AI agent systems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Publication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One paper, venue at your discretion — I am glad for this to be led from your side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A3355"/>
          <w:sz w:val="26"/>
        </w:rPr>
        <w:t>9. Terms I would like settled in writing first</w:t>
      </w:r>
    </w:p>
    <w:p>
      <w:pPr>
        <w:pStyle w:val="ListBullet"/>
        <w:spacing w:after="40"/>
      </w:pPr>
      <w:r>
        <w:t>Scope — which direction we are committing to, and what constitutes completion.</w:t>
      </w:r>
    </w:p>
    <w:p>
      <w:pPr>
        <w:pStyle w:val="ListBullet"/>
        <w:spacing w:after="40"/>
      </w:pPr>
      <w:r>
        <w:t>Intellectual property — ownership split on any provisional filing, and confirmation that open-source components are released under a permissive licence.</w:t>
      </w:r>
    </w:p>
    <w:p>
      <w:pPr>
        <w:pStyle w:val="ListBullet"/>
        <w:spacing w:after="40"/>
      </w:pPr>
      <w:r>
        <w:t>Inventorship and authorship — named order agreed at the outset rather than at submission.</w:t>
      </w:r>
    </w:p>
    <w:p>
      <w:pPr>
        <w:pStyle w:val="ListBullet"/>
        <w:spacing w:after="40"/>
      </w:pPr>
      <w:r>
        <w:t>Payment or appointment terms, if the collaboration runs through the research assistant role.</w:t>
      </w:r>
    </w:p>
    <w:p>
      <w:pPr>
        <w:pStyle w:val="ListBullet"/>
        <w:spacing w:after="40"/>
      </w:pPr>
      <w:r>
        <w:t>Disclosure sequencing — that no public release precedes the corresponding filing.</w:t>
      </w:r>
    </w:p>
    <w:p>
      <w:pPr>
        <w:spacing w:after="120"/>
      </w:pPr>
      <w:r>
        <w:t>I raise these now because they are far easier to settle before there is anything to disagree about, not because I anticipate difficulty.</w:t>
      </w:r>
    </w:p>
    <w:p>
      <w:pPr>
        <w:spacing w:before="200" w:after="80"/>
      </w:pPr>
      <w:r>
        <w:rPr>
          <w:rFonts w:ascii="Calibri" w:hAnsi="Calibri"/>
          <w:b/>
          <w:color w:val="1A3355"/>
          <w:sz w:val="26"/>
        </w:rPr>
        <w:t>10. What I am asking for</w:t>
      </w:r>
    </w:p>
    <w:p>
      <w:pPr>
        <w:spacing w:after="120"/>
      </w:pPr>
      <w:r>
        <w:t>Thirty minutes to choose a starting point. My recommendation is Direction 1; Direction 2 is the strongest alternative and the one closest to your own work; Direction 3 follows naturally from either. I would defer to your judgement on which is the better use of the group's time, and I am prepared to begin the recommended track immediately, at no resource cost to you.</w:t>
      </w:r>
    </w:p>
    <w:p>
      <w:pPr>
        <w:spacing w:after="120"/>
      </w:pPr>
      <w:r>
        <w:t>I can share the smart contract auditing agent architecture and the exploit corpus schema — both attached, and both already implemented — ahead of any call, if that would help you assess the 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