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34C1F">
      <w:pPr>
        <w:spacing w:after="50" w:line="264" w:lineRule="auto"/>
      </w:pPr>
      <w:r>
        <w:rPr>
          <w:rFonts w:ascii="Calibri" w:hAnsi="Calibri" w:eastAsia="Calibri" w:cs="Calibri"/>
          <w:b/>
          <w:bCs/>
          <w:color w:val="1F3A5C"/>
          <w:sz w:val="30"/>
          <w:szCs w:val="30"/>
        </w:rPr>
        <w:t>Technical Appendix</w:t>
      </w:r>
    </w:p>
    <w:p w14:paraId="50363663">
      <w:pPr>
        <w:spacing w:after="60" w:line="264" w:lineRule="auto"/>
      </w:pPr>
      <w:r>
        <w:rPr>
          <w:rFonts w:ascii="Calibri" w:hAnsi="Calibri" w:eastAsia="Calibri" w:cs="Calibri"/>
          <w:color w:val="444444"/>
          <w:sz w:val="22"/>
          <w:szCs w:val="22"/>
        </w:rPr>
        <w:t>Multi-Stage Smart Contract Auditing Agent — Architecture and Exploit Corpus Schema</w:t>
      </w:r>
    </w:p>
    <w:p w14:paraId="348FF3A9">
      <w:pPr>
        <w:pBdr>
          <w:bottom w:val="single" w:color="C7D2DE" w:sz="6" w:space="0"/>
        </w:pBdr>
        <w:spacing w:after="180"/>
      </w:pPr>
    </w:p>
    <w:p w14:paraId="023E784F">
      <w:pPr>
        <w:pStyle w:val="2"/>
        <w:spacing w:before="280" w:after="130"/>
      </w:pPr>
      <w:r>
        <w:rPr>
          <w:rFonts w:ascii="Calibri" w:hAnsi="Calibri" w:eastAsia="Calibri" w:cs="Calibri"/>
          <w:b/>
          <w:bCs/>
          <w:color w:val="1F3A5C"/>
          <w:sz w:val="24"/>
          <w:szCs w:val="24"/>
        </w:rPr>
        <w:t>1. Pipeline</w:t>
      </w:r>
    </w:p>
    <w:p w14:paraId="2AE3178E">
      <w:pPr>
        <w:spacing w:after="150" w:line="264" w:lineRule="auto"/>
      </w:pPr>
      <w:r>
        <w:rPr>
          <w:rFonts w:ascii="Calibri" w:hAnsi="Calibri" w:eastAsia="Calibri" w:cs="Calibri"/>
          <w:sz w:val="20"/>
          <w:szCs w:val="20"/>
        </w:rPr>
        <w:t>Four stages behind a read-only execution sandbox. The design principle is that no stage is trusted to be right on its own — every proposed finding must survive an attempt to reproduce it before it reaches output.</w:t>
      </w:r>
    </w:p>
    <w:tbl>
      <w:tblPr>
        <w:tblStyle w:val="9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0"/>
        <w:gridCol w:w="3900"/>
        <w:gridCol w:w="3610"/>
      </w:tblGrid>
      <w:tr w14:paraId="3346BCF8">
        <w:trPr>
          <w:tblHeader/>
        </w:trPr>
        <w:tc>
          <w:tcPr>
            <w:tcW w:w="1750" w:type="dxa"/>
            <w:shd w:val="clear" w:color="auto" w:fill="ED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2E051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Stage</w:t>
            </w:r>
          </w:p>
        </w:tc>
        <w:tc>
          <w:tcPr>
            <w:tcW w:w="3900" w:type="dxa"/>
            <w:shd w:val="clear" w:color="auto" w:fill="ED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84D34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Input → Output</w:t>
            </w:r>
          </w:p>
        </w:tc>
        <w:tc>
          <w:tcPr>
            <w:tcW w:w="3610" w:type="dxa"/>
            <w:shd w:val="clear" w:color="auto" w:fill="ED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553F0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Failure mode it addresses</w:t>
            </w:r>
          </w:p>
        </w:tc>
      </w:tr>
      <w:tr w14:paraId="45801FC9"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68D7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1.Comprehension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1F239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Source + ABI → normalised control-flow and state-mutation summary</w:t>
            </w:r>
          </w:p>
        </w:tc>
        <w:tc>
          <w:tcPr>
            <w:tcW w:w="36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9AF9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Model reasoning over syntax it has not actually parsed</w:t>
            </w:r>
          </w:p>
        </w:tc>
      </w:tr>
      <w:tr w14:paraId="0AF65851"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E86B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2. Exploit-path planning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88E8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State summary → candidate paths from attacker-controlled entry point to state change</w:t>
            </w:r>
          </w:p>
        </w:tc>
        <w:tc>
          <w:tcPr>
            <w:tcW w:w="36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9D5C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Reporting a pattern match with no reachable path to it</w:t>
            </w:r>
          </w:p>
        </w:tc>
      </w:tr>
      <w:tr w14:paraId="67BFB418"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4F4A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3. Classification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1411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Candidate path → typed vulnerability + severity + preconditions</w:t>
            </w:r>
          </w:p>
        </w:tc>
        <w:tc>
          <w:tcPr>
            <w:tcW w:w="36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2617F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Vague findings that a reviewer cannot action</w:t>
            </w:r>
          </w:p>
        </w:tc>
      </w:tr>
      <w:tr w14:paraId="1E3CC94B">
        <w:tc>
          <w:tcPr>
            <w:tcW w:w="17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8C3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4. Self-correction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77283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Typed finding → reproduce in sandbox; drop if not reproducible</w:t>
            </w:r>
          </w:p>
        </w:tc>
        <w:tc>
          <w:tcPr>
            <w:tcW w:w="36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095C6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Confident hallucinated findings — the dominant cost in single-shot review</w:t>
            </w:r>
          </w:p>
        </w:tc>
      </w:tr>
    </w:tbl>
    <w:p w14:paraId="1A643974">
      <w:pPr>
        <w:spacing w:after="120" w:line="264" w:lineRule="auto"/>
      </w:pPr>
    </w:p>
    <w:p w14:paraId="37C1A9C0">
      <w:pPr>
        <w:spacing w:after="130" w:line="264" w:lineRule="auto"/>
      </w:pPr>
      <w:r>
        <w:rPr>
          <w:rFonts w:ascii="Calibri" w:hAnsi="Calibri" w:eastAsia="Calibri" w:cs="Calibri"/>
          <w:sz w:val="20"/>
          <w:szCs w:val="20"/>
        </w:rPr>
        <w:t>Retrieval runs alongside stages 2–4: comparable historical exploits are pulled from the corpus below and the prediction is validated against the recorded outcome of the real incident.</w:t>
      </w:r>
    </w:p>
    <w:p w14:paraId="0CC9AE03">
      <w:pPr>
        <w:pStyle w:val="2"/>
        <w:spacing w:before="280" w:after="130"/>
      </w:pPr>
      <w:r>
        <w:rPr>
          <w:rFonts w:ascii="Calibri" w:hAnsi="Calibri" w:eastAsia="Calibri" w:cs="Calibri"/>
          <w:b/>
          <w:bCs/>
          <w:color w:val="1F3A5C"/>
          <w:sz w:val="24"/>
          <w:szCs w:val="24"/>
        </w:rPr>
        <w:t>2. Exploit corpus</w:t>
      </w:r>
    </w:p>
    <w:p w14:paraId="5C3B1D98">
      <w:pPr>
        <w:spacing w:after="140" w:line="264" w:lineRule="auto"/>
      </w:pPr>
      <w:r>
        <w:rPr>
          <w:rFonts w:ascii="Calibri" w:hAnsi="Calibri" w:eastAsia="Calibri" w:cs="Calibri"/>
          <w:sz w:val="20"/>
          <w:szCs w:val="20"/>
        </w:rPr>
        <w:t>Built from public post-mortems and incident reports — DeFiHackLabs, PeckShield, BlockSec — then annotated. Each record ties a contract to what was actually done to it and what it actually cost.</w:t>
      </w:r>
    </w:p>
    <w:tbl>
      <w:tblPr>
        <w:tblStyle w:val="9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160"/>
      </w:tblGrid>
      <w:tr w14:paraId="078F7A94">
        <w:trPr>
          <w:tblHeader/>
        </w:trPr>
        <w:tc>
          <w:tcPr>
            <w:tcW w:w="2100" w:type="dxa"/>
            <w:shd w:val="clear" w:color="auto" w:fill="ED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55460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160" w:type="dxa"/>
            <w:shd w:val="clear" w:color="auto" w:fill="ED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33715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Content</w:t>
            </w:r>
          </w:p>
        </w:tc>
      </w:tr>
      <w:tr w14:paraId="3872242C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B4985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incident_id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3F483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Stable identifier; source publication and date</w:t>
            </w:r>
          </w:p>
        </w:tc>
      </w:tr>
      <w:tr w14:paraId="15A7023F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D5FB8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chain / address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1D80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Deployment target and contract address</w:t>
            </w:r>
          </w:p>
        </w:tc>
      </w:tr>
      <w:tr w14:paraId="2598FEDE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810C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contract_source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5710E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Verified source where available; bytecode otherwise</w:t>
            </w:r>
          </w:p>
        </w:tc>
      </w:tr>
      <w:tr w14:paraId="27F3F7DD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A5E8E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exploit_category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7559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reentrancy | oracle_manipulation | flash_loan | access_control | unchecked_call | price_manipulation</w:t>
            </w:r>
          </w:p>
        </w:tc>
      </w:tr>
      <w:tr w14:paraId="7ACE9F03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0DD8C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attack_tx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6C7D6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Transaction hash(es) of the exploit, in execution order</w:t>
            </w:r>
          </w:p>
        </w:tc>
      </w:tr>
      <w:tr w14:paraId="2FEE7485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C1BBD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transaction_pattern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B1443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Ordered call sequence characterising the attack — the discriminative feature, not the prose description</w:t>
            </w:r>
          </w:p>
        </w:tc>
      </w:tr>
      <w:tr w14:paraId="501A1181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7D99A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preconditions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5E54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State or configuration the attack depended on (pool depth, oracle staleness, role assignment)</w:t>
            </w:r>
          </w:p>
        </w:tc>
      </w:tr>
      <w:tr w14:paraId="45E0C6C9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DDB91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loss_usd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D9E0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Realised loss at incident time</w:t>
            </w:r>
          </w:p>
        </w:tc>
      </w:tr>
      <w:tr w14:paraId="4147A40B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24E22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outcome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1CC5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Recovered / partially recovered / unrecovered; any post-incident patch</w:t>
            </w:r>
          </w:p>
        </w:tc>
      </w:tr>
      <w:tr w14:paraId="4EE01A5B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FA12C">
            <w:pPr>
              <w:spacing w:after="0"/>
            </w:pPr>
            <w:r>
              <w:rPr>
                <w:rFonts w:ascii="Consolas" w:hAnsi="Consolas" w:eastAsia="Consolas" w:cs="Consolas"/>
                <w:b w:val="0"/>
                <w:bCs w:val="0"/>
                <w:sz w:val="17"/>
                <w:szCs w:val="17"/>
              </w:rPr>
              <w:t>label_provenance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E1A6B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Annotator, date, and the report the label was derived from</w:t>
            </w:r>
          </w:p>
        </w:tc>
      </w:tr>
    </w:tbl>
    <w:p w14:paraId="25106E33">
      <w:pPr>
        <w:spacing w:after="120" w:line="264" w:lineRule="auto"/>
      </w:pPr>
    </w:p>
    <w:p w14:paraId="5AC3E476">
      <w:pPr>
        <w:spacing w:after="140" w:line="264" w:lineRule="auto"/>
      </w:pPr>
      <w:r>
        <w:rPr>
          <w:rFonts w:ascii="Calibri" w:hAnsi="Calibri" w:eastAsia="Calibri" w:cs="Calibri"/>
          <w:sz w:val="20"/>
          <w:szCs w:val="20"/>
        </w:rPr>
        <w:t>The two fields that carry most of the evaluation weight are transaction_pattern and preconditions. Category alone is too coarse to discriminate between detectors — most systems get category right and reachability wrong.</w:t>
      </w:r>
    </w:p>
    <w:p w14:paraId="39B5D241">
      <w:pPr>
        <w:pStyle w:val="2"/>
        <w:spacing w:before="280" w:after="130"/>
      </w:pPr>
      <w:r>
        <w:rPr>
          <w:rFonts w:ascii="Calibri" w:hAnsi="Calibri" w:eastAsia="Calibri" w:cs="Calibri"/>
          <w:b/>
          <w:bCs/>
          <w:color w:val="1F3A5C"/>
          <w:sz w:val="24"/>
          <w:szCs w:val="24"/>
        </w:rPr>
        <w:t>3. Measured results</w:t>
      </w:r>
    </w:p>
    <w:tbl>
      <w:tblPr>
        <w:tblStyle w:val="9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3860"/>
      </w:tblGrid>
      <w:tr w14:paraId="30D2742A">
        <w:trPr>
          <w:tblHeader/>
        </w:trPr>
        <w:tc>
          <w:tcPr>
            <w:tcW w:w="5400" w:type="dxa"/>
            <w:shd w:val="clear" w:color="auto" w:fill="ED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E97AE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3860" w:type="dxa"/>
            <w:shd w:val="clear" w:color="auto" w:fill="ED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65F6B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Result</w:t>
            </w:r>
          </w:p>
        </w:tc>
      </w:tr>
      <w:tr w14:paraId="2F4CB399">
        <w:tc>
          <w:tcPr>
            <w:tcW w:w="5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21AA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Exploit detection accuracy (benchmark copilot)</w:t>
            </w:r>
          </w:p>
        </w:tc>
        <w:tc>
          <w:tcPr>
            <w:tcW w:w="3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0AD82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92%</w:t>
            </w:r>
          </w:p>
        </w:tc>
      </w:tr>
      <w:tr w14:paraId="229D4F0E">
        <w:tc>
          <w:tcPr>
            <w:tcW w:w="5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6B09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Reduction in hallucinated findings (self-correction stage)</w:t>
            </w:r>
          </w:p>
        </w:tc>
        <w:tc>
          <w:tcPr>
            <w:tcW w:w="3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1567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≈20%</w:t>
            </w:r>
          </w:p>
        </w:tc>
      </w:tr>
      <w:tr w14:paraId="4B0EDC08">
        <w:tc>
          <w:tcPr>
            <w:tcW w:w="5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2A24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Improvement in answer relevance (retrieval + validation)</w:t>
            </w:r>
          </w:p>
        </w:tc>
        <w:tc>
          <w:tcPr>
            <w:tcW w:w="3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1B5B0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≈35%</w:t>
            </w:r>
          </w:p>
        </w:tc>
      </w:tr>
    </w:tbl>
    <w:p w14:paraId="39F68CF6">
      <w:pPr>
        <w:spacing w:after="120" w:line="264" w:lineRule="auto"/>
      </w:pPr>
    </w:p>
    <w:p w14:paraId="29052DBE">
      <w:pPr>
        <w:spacing w:after="140" w:line="264" w:lineRule="auto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Accuracy is reported against held-out incidents, not against the annotation set used to build the retrieval index.</w:t>
      </w:r>
    </w:p>
    <w:p w14:paraId="16A0A4CE">
      <w:pPr>
        <w:pStyle w:val="2"/>
        <w:spacing w:before="280" w:after="130"/>
      </w:pPr>
      <w:r>
        <w:rPr>
          <w:rFonts w:ascii="Calibri" w:hAnsi="Calibri" w:eastAsia="Calibri" w:cs="Calibri"/>
          <w:b/>
          <w:bCs/>
          <w:color w:val="1F3A5C"/>
          <w:sz w:val="24"/>
          <w:szCs w:val="24"/>
        </w:rPr>
        <w:t>4. What transfers to agent-skill screening</w:t>
      </w:r>
    </w:p>
    <w:p w14:paraId="51ACD5CA">
      <w:pPr>
        <w:spacing w:after="140" w:line="264" w:lineRule="auto"/>
      </w:pPr>
      <w:r>
        <w:rPr>
          <w:rFonts w:ascii="Calibri" w:hAnsi="Calibri" w:eastAsia="Calibri" w:cs="Calibri"/>
          <w:sz w:val="20"/>
          <w:szCs w:val="20"/>
        </w:rPr>
        <w:t>The proposed Work Package A is not a new architecture. It is this one retargeted, which is why the timeline is nine months rather than eighteen.</w:t>
      </w:r>
    </w:p>
    <w:tbl>
      <w:tblPr>
        <w:tblStyle w:val="9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00"/>
        <w:gridCol w:w="4860"/>
      </w:tblGrid>
      <w:tr w14:paraId="09F9FBCB">
        <w:trPr>
          <w:tblHeader/>
        </w:trPr>
        <w:tc>
          <w:tcPr>
            <w:tcW w:w="4400" w:type="dxa"/>
            <w:shd w:val="clear" w:color="auto" w:fill="ED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44240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Contract auditing</w:t>
            </w:r>
          </w:p>
        </w:tc>
        <w:tc>
          <w:tcPr>
            <w:tcW w:w="4860" w:type="dxa"/>
            <w:shd w:val="clear" w:color="auto" w:fill="ED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C953D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Agent-skill screening</w:t>
            </w:r>
          </w:p>
        </w:tc>
      </w:tr>
      <w:tr w14:paraId="0DA97FAE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7BE9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Source + ABI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B0B1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Skill manifest + declared tool schema</w:t>
            </w:r>
          </w:p>
        </w:tc>
      </w:tr>
      <w:tr w14:paraId="696DE501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8C02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Attacker-controlled entry point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7D03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Untrusted content entering the agent's context</w:t>
            </w:r>
          </w:p>
        </w:tc>
      </w:tr>
      <w:tr w14:paraId="1E5C6630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73FF9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Exploit path to state change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5354F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Path from injected instruction to a privileged tool call</w:t>
            </w:r>
          </w:p>
        </w:tc>
      </w:tr>
      <w:tr w14:paraId="204ABBBF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4FA4D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Read-only sandbox reproduction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F3947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Sandboxed execution with syscall, network and tool-egress capture</w:t>
            </w:r>
          </w:p>
        </w:tc>
      </w:tr>
      <w:tr w14:paraId="5970DE7D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123D5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Annotated incident corpus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2A45A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Labelled benign / malicious skill corpus with provenance</w:t>
            </w:r>
          </w:p>
        </w:tc>
      </w:tr>
      <w:tr w14:paraId="3034C9C7"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1888C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Validate against recorded outcome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44EC2">
            <w:pPr>
              <w:spacing w:after="0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Validate declared capability against observed behaviour</w:t>
            </w:r>
          </w:p>
        </w:tc>
      </w:tr>
    </w:tbl>
    <w:p w14:paraId="19B540BE">
      <w:pPr>
        <w:spacing w:after="150" w:line="264" w:lineRule="auto"/>
      </w:pPr>
    </w:p>
    <w:p w14:paraId="19324325">
      <w:pPr>
        <w:spacing w:after="180" w:line="264" w:lineRule="auto"/>
      </w:pPr>
      <w:r>
        <w:rPr>
          <w:rFonts w:ascii="Calibri" w:hAnsi="Calibri" w:eastAsia="Calibri" w:cs="Calibri"/>
          <w:sz w:val="20"/>
          <w:szCs w:val="20"/>
        </w:rPr>
        <w:t>The one genuinely new component is capability diffing across versions — a skill that is benign at v1.2 and malicious at v1.3 has no analogue in single-deployment contract auditing, and is the mechanism behind most registry-based supply-chain compromise.</w:t>
      </w:r>
    </w:p>
    <w:p w14:paraId="76DB9E77">
      <w:pPr>
        <w:spacing w:after="0" w:line="264" w:lineRule="auto"/>
      </w:pPr>
      <w:bookmarkStart w:id="0" w:name="_GoBack"/>
      <w:bookmarkEnd w:id="0"/>
    </w:p>
    <w:sectPr>
      <w:pgSz w:w="12240" w:h="15840"/>
      <w:pgMar w:top="1080" w:right="1200" w:bottom="108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FFFE3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WPS_1748445217</cp:lastModifiedBy>
  <dcterms:modified xsi:type="dcterms:W3CDTF">2026-08-25T08:35:54Z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5B4857265AD0D2102A8C8D6A81E0B088_42</vt:lpwstr>
  </property>
</Properties>
</file>