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0E53">
      <w:pPr>
        <w:spacing w:after="60" w:line="276" w:lineRule="auto"/>
      </w:pPr>
      <w:r>
        <w:rPr>
          <w:rFonts w:ascii="Calibri" w:hAnsi="Calibri" w:eastAsia="Calibri" w:cs="Calibri"/>
          <w:b/>
          <w:bCs/>
          <w:color w:val="1F3A5C"/>
          <w:sz w:val="34"/>
          <w:szCs w:val="34"/>
        </w:rPr>
        <w:t>Research Collaboration Proposal</w:t>
      </w:r>
    </w:p>
    <w:p w14:paraId="24C3E4E3">
      <w:pPr>
        <w:spacing w:after="180" w:line="276" w:lineRule="auto"/>
      </w:pPr>
      <w:r>
        <w:rPr>
          <w:rFonts w:ascii="Calibri" w:hAnsi="Calibri" w:eastAsia="Calibri" w:cs="Calibri"/>
          <w:color w:val="444444"/>
          <w:sz w:val="23"/>
          <w:szCs w:val="23"/>
        </w:rPr>
        <w:t>Securing Autonomous AI Agents: Supply-Chain Screening, Credential Revocation, and Verifiable Accountability</w:t>
      </w:r>
    </w:p>
    <w:p w14:paraId="0EBA45DC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1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Why now, and why this problem</w:t>
      </w:r>
    </w:p>
    <w:p w14:paraId="4A828A70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An agent's blast radius is determined by the tools it can call, not by its weights. In eighteen months the ecosystem has moved from agents with a few hand-written tools to agents that install third-party capabilities — MCP servers, skills, plugins — from public registries with essentially no review.</w:t>
      </w:r>
    </w:p>
    <w:p w14:paraId="2E2798AB">
      <w:pPr>
        <w:spacing w:after="105" w:line="276" w:lineRule="auto"/>
      </w:pPr>
      <w:r>
        <w:rPr>
          <w:rFonts w:ascii="Calibri" w:hAnsi="Calibri" w:eastAsia="Calibri" w:cs="Calibri"/>
          <w:sz w:val="21"/>
          <w:szCs w:val="21"/>
        </w:rPr>
        <w:t>Three findings define the gap:</w:t>
      </w:r>
    </w:p>
    <w:p w14:paraId="1B39DF21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Prevalence. Large-scale audits of public agent-skill registries report that roughly a quarter of scanned skills carry at least one security vulnerability, spanning more than a dozen distinct patterns.</w:t>
      </w:r>
    </w:p>
    <w:p w14:paraId="3DF36242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Detector fragility. In a controlled evaluation of eight open-source skill scanners, a single malicious skill evaded all eight using encoding, homoglyph substitution, paraphrase and bundled-code techniques.</w:t>
      </w:r>
    </w:p>
    <w:p w14:paraId="24EC0F3D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Tooling mismatch. Signature-based malware infrastructure does not recognise agent-targeted payloads; catalogues of thousands of malicious agent-facing tools show conventional scanning services missing the majority.</w:t>
      </w:r>
    </w:p>
    <w:p w14:paraId="231D01AC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Underneath the supply-chain problem sits an identity problem. A perfectly screened tool still becomes dangerous when the agent invoking it holds a long-lived, broadly-scoped credential that nobody can revoke quickly. Standards bodies have started saying this plainly: agents are commonly deployed as generic service accounts, with no dedicated identity, authorization or accountability controls.</w:t>
      </w:r>
    </w:p>
    <w:p w14:paraId="77ED6947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Screening, revocation and accountability are usually pursued as separate literatures. I believe they are one control loop — decide what an agent may install, revoke it quickly when that decision was wrong, and prove afterwards what it actually did. Directions 1 to 3 below are that loop.</w:t>
      </w:r>
    </w:p>
    <w:p w14:paraId="46BA5F87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2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The five directions at a glance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3400"/>
        <w:gridCol w:w="5400"/>
      </w:tblGrid>
      <w:tr w14:paraId="3361E35E">
        <w:trPr>
          <w:tblHeader/>
        </w:trPr>
        <w:tc>
          <w:tcPr>
            <w:tcW w:w="56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36A7DF0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40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8F963C2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Direction</w:t>
            </w:r>
          </w:p>
        </w:tc>
        <w:tc>
          <w:tcPr>
            <w:tcW w:w="540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1F4AAE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Fit with your published work</w:t>
            </w:r>
          </w:p>
        </w:tc>
      </w:tr>
      <w:tr w14:paraId="0619A73D">
        <w:tc>
          <w:tcPr>
            <w:tcW w:w="5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73BB4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D9284B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Agent-skill and MCP supply-chain screening, with a public benchmark</w:t>
            </w:r>
          </w:p>
        </w:tc>
        <w:tc>
          <w:tcPr>
            <w:tcW w:w="5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460DA7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Extends your IoT and microservices supply-chain security research into the agent era</w:t>
            </w:r>
          </w:p>
        </w:tc>
      </w:tr>
      <w:tr w14:paraId="64F5CA19">
        <w:tc>
          <w:tcPr>
            <w:tcW w:w="5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F4F8D1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DC2C3E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Credential revocation for autonomous agents</w:t>
            </w:r>
          </w:p>
        </w:tc>
        <w:tc>
          <w:tcPr>
            <w:tcW w:w="5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C5F3D4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Direct extension of your smart-contract key revocation work in IoT/WoT environments</w:t>
            </w:r>
          </w:p>
        </w:tc>
      </w:tr>
      <w:tr w14:paraId="2E4F2ADD">
        <w:tc>
          <w:tcPr>
            <w:tcW w:w="5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8BBD0F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3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440EC0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Tamper-evident audit trail for regulated agents</w:t>
            </w:r>
          </w:p>
        </w:tc>
        <w:tc>
          <w:tcPr>
            <w:tcW w:w="5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8C9125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Applies your blockchain expertise to the accountability gap regulators have named</w:t>
            </w:r>
          </w:p>
        </w:tc>
      </w:tr>
      <w:tr w14:paraId="33FC80AF">
        <w:tc>
          <w:tcPr>
            <w:tcW w:w="5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CEEACC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3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83B3806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Explainable runtime intrusion detection for agents</w:t>
            </w:r>
          </w:p>
        </w:tc>
        <w:tc>
          <w:tcPr>
            <w:tcW w:w="5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E427E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Closest to your ensemble intrusion-detection and explainable-ML work</w:t>
            </w:r>
          </w:p>
        </w:tc>
      </w:tr>
      <w:tr w14:paraId="4B62BA41">
        <w:tc>
          <w:tcPr>
            <w:tcW w:w="5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691569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3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7F6D19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Clinical agent safety benchmark</w:t>
            </w:r>
          </w:p>
        </w:tc>
        <w:tc>
          <w:tcPr>
            <w:tcW w:w="54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64EEDB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Draws on your healthcare informatics and explainable-ML record</w:t>
            </w:r>
          </w:p>
        </w:tc>
      </w:tr>
    </w:tbl>
    <w:p w14:paraId="3077252A">
      <w:pPr>
        <w:spacing w:after="130" w:line="276" w:lineRule="auto"/>
      </w:pPr>
    </w:p>
    <w:p w14:paraId="77C17ABB">
      <w:pPr>
        <w:spacing w:after="140" w:line="276" w:lineRule="auto"/>
      </w:pPr>
      <w:r>
        <w:rPr>
          <w:rFonts w:ascii="Calibri" w:hAnsi="Calibri" w:eastAsia="Calibri" w:cs="Calibri"/>
          <w:b w:val="0"/>
          <w:bCs w:val="0"/>
          <w:sz w:val="21"/>
          <w:szCs w:val="21"/>
        </w:rPr>
        <w:t>My recommendation is Direction 1, with Direction 2 as the alternative if you would rather build on your own line of work, and Direction 3 as the natural joint follow-on. Directions 4 and 5 are genuine and I would be glad to pursue either, but I would suggest attaching them to an active track rather than running them standalone — I explain why in each section.</w:t>
      </w:r>
    </w:p>
    <w:p w14:paraId="3922D4E8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3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Direction 1 — Agent-skill and MCP supply-chain screening</w:t>
      </w:r>
    </w:p>
    <w:p w14:paraId="55053880">
      <w:pPr>
        <w:spacing w:after="130" w:line="276" w:lineRule="auto"/>
      </w:pPr>
      <w:r>
        <w:rPr>
          <w:rFonts w:ascii="Calibri" w:hAnsi="Calibri" w:eastAsia="Calibri" w:cs="Calibri"/>
          <w:i/>
          <w:iCs/>
          <w:color w:val="1F3A5C"/>
          <w:sz w:val="21"/>
          <w:szCs w:val="21"/>
        </w:rPr>
        <w:t>Recommended starting point.</w:t>
      </w:r>
    </w:p>
    <w:p w14:paraId="5A3CB60F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What we would build</w:t>
      </w:r>
    </w:p>
    <w:p w14:paraId="48AA8984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A screening system that survives adversarial evasion, and a labelled public benchmark that makes competing detectors comparable for the first time.</w:t>
      </w:r>
    </w:p>
    <w:p w14:paraId="4FA8E5C1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Manifest analysis — permission and verb extraction, capability diffing across versions to detect privilege creep between releases of the same skill.</w:t>
      </w:r>
    </w:p>
    <w:p w14:paraId="27ECF7D8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Prompt-layer analysis — implicit tool poisoning, instruction smuggling in descriptions and docstrings, and the encoding and homoglyph families that defeated existing scanners.</w:t>
      </w:r>
    </w:p>
    <w:p w14:paraId="6C0CED60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Behavioural analysis — execute each skill in a read-only sandbox, capture actual syscall, network and tool egress, and diff observed behaviour against declared capability. This is the sandbox-and-verify structure from my contract auditing work, retargeted.</w:t>
      </w:r>
    </w:p>
    <w:p w14:paraId="1645E1AD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Benchmark — a versioned corpus of benign and malicious skills with provenance and a held-out split, released publicly.</w:t>
      </w:r>
    </w:p>
    <w:p w14:paraId="1A3D1E7B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How it would run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360"/>
      </w:tblGrid>
      <w:tr w14:paraId="09D98FF8">
        <w:trPr>
          <w:tblHeader/>
        </w:trPr>
        <w:tc>
          <w:tcPr>
            <w:tcW w:w="100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F84281A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Months</w:t>
            </w:r>
          </w:p>
        </w:tc>
        <w:tc>
          <w:tcPr>
            <w:tcW w:w="836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F6736B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Work</w:t>
            </w:r>
          </w:p>
        </w:tc>
      </w:tr>
      <w:tr w14:paraId="7B84B32F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A5DB7A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298BE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Threat taxonomy; collect 500–1,000 skills and MCP servers from public registries; define vulnerability classes for annotation.</w:t>
            </w:r>
          </w:p>
        </w:tc>
      </w:tr>
      <w:tr w14:paraId="664C8667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93AA8F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1–2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C9308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Reproduce published evasion techniques against existing open-source scanners. This baseline comparison is a publishable result in itself and costs almost nothing additional.</w:t>
            </w:r>
          </w:p>
        </w:tc>
      </w:tr>
      <w:tr w14:paraId="5BBC905E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C96C40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2–3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852B4EF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Static analyzer: manifest permissions, capability diffing, prompt-layer injection detection.</w:t>
            </w:r>
          </w:p>
        </w:tc>
      </w:tr>
      <w:tr w14:paraId="31AA804A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2348D0F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1A65E8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Provisional patent filing on the capability-diff and behavioural-divergence method, before any public release.</w:t>
            </w:r>
          </w:p>
        </w:tc>
      </w:tr>
      <w:tr w14:paraId="4565D837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80EB8B0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72022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Sandbox runner with syscall, network and tool-egress capture.</w:t>
            </w:r>
          </w:p>
        </w:tc>
      </w:tr>
      <w:tr w14:paraId="4738B21A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BCB0CE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F8797E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Corpus labelling, held-out split, benchmark v1.0 and evaluation harness.</w:t>
            </w:r>
          </w:p>
        </w:tc>
      </w:tr>
      <w:tr w14:paraId="080E9A25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781E5E6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1716ED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Public release, technical report, standards consultation response.</w:t>
            </w:r>
          </w:p>
        </w:tc>
      </w:tr>
    </w:tbl>
    <w:p w14:paraId="2CA9ECAF">
      <w:pPr>
        <w:spacing w:after="120" w:line="276" w:lineRule="auto"/>
      </w:pPr>
    </w:p>
    <w:p w14:paraId="0AD8507E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Why I recommend it</w:t>
      </w:r>
    </w:p>
    <w:p w14:paraId="4C8579E4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It is the area with the most attention and the least settled tooling, which means a well-built benchmark becomes the reference other groups cite rather than one paper among many. It also produces a defensible patent and an adoptable artifact from the same nine months of work, and it creates the corpus that Direction 4 would otherwise have to build from scratch.</w:t>
      </w:r>
    </w:p>
    <w:p w14:paraId="5F4BB5D0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What I would need from you</w:t>
      </w:r>
    </w:p>
    <w:p w14:paraId="01C1CDE6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Scoping judgement on the taxonomy, review of the evaluation design, and your name on the outputs. No compute or data purchase is required — the corpus is drawn from public registries, and I can begin immediately.</w:t>
      </w:r>
    </w:p>
    <w:p w14:paraId="77AA722E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4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Direction 2 — Credential revocation for autonomous agents</w:t>
      </w:r>
    </w:p>
    <w:p w14:paraId="5AD474BA">
      <w:pPr>
        <w:spacing w:after="130" w:line="276" w:lineRule="auto"/>
      </w:pPr>
      <w:r>
        <w:rPr>
          <w:rFonts w:ascii="Calibri" w:hAnsi="Calibri" w:eastAsia="Calibri" w:cs="Calibri"/>
          <w:i/>
          <w:iCs/>
          <w:color w:val="1F3A5C"/>
          <w:sz w:val="21"/>
          <w:szCs w:val="21"/>
        </w:rPr>
        <w:t>Strongest alternative; the closest fit to your own published work.</w:t>
      </w:r>
    </w:p>
    <w:p w14:paraId="577865DF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What we would build</w:t>
      </w:r>
    </w:p>
    <w:p w14:paraId="6435F264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Your smart-contract-based key revocation scheme for IoT/WoT environments solves a problem that agent infrastructure is about to meet in a harder form. A revoked IoT device is passive. A revoked agent is not: it may be mid-task, holding cached capability tokens, open tool sessions, and delegations it has already issued to sub-agents. Revoking it correctly means revoking a tree, with a propagation guarantee, fast enough to matter.</w:t>
      </w:r>
    </w:p>
    <w:p w14:paraId="35E244DD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Per-agent identity distinct from the human principal, with delegation chains recording who authorized what, under which scope, and for how long.</w:t>
      </w:r>
    </w:p>
    <w:p w14:paraId="2716CF8B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Task-scoped capability tokens that expire on task completion rather than on a fixed calendar, behind a deny-by-default tool gate.</w:t>
      </w:r>
    </w:p>
    <w:p w14:paraId="52669CB1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Cascading revocation — revoking a parent invalidates the delegations it issued, with a stated and measured propagation guarantee.</w:t>
      </w:r>
    </w:p>
    <w:p w14:paraId="33CA8824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A Solidity revocation registry, plus the agent-side enforcement library that actually honours it.</w:t>
      </w:r>
    </w:p>
    <w:p w14:paraId="79679D34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How it would run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360"/>
      </w:tblGrid>
      <w:tr w14:paraId="6BCBB891">
        <w:trPr>
          <w:tblHeader/>
        </w:trPr>
        <w:tc>
          <w:tcPr>
            <w:tcW w:w="100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F7F7C44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Months</w:t>
            </w:r>
          </w:p>
        </w:tc>
        <w:tc>
          <w:tcPr>
            <w:tcW w:w="836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7AB11FA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Work</w:t>
            </w:r>
          </w:p>
        </w:tc>
      </w:tr>
      <w:tr w14:paraId="64B57183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5883E4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2BA3DF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Formalise the delegation-tree threat model; specify cascading revocation semantics and the propagation guarantee to be proven.</w:t>
            </w:r>
          </w:p>
        </w:tc>
      </w:tr>
      <w:tr w14:paraId="44D1C788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5E005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9F3716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Revocation registry contract and agent-side enforcement library.</w:t>
            </w:r>
          </w:p>
        </w:tc>
      </w:tr>
      <w:tr w14:paraId="5E0F9434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C35282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556D9D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Provisional patent filing on cascading revocation with propagation guarantee, co-invented.</w:t>
            </w:r>
          </w:p>
        </w:tc>
      </w:tr>
      <w:tr w14:paraId="1018FE42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0566B2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A5A912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Reference implementation of task-scoped capability tokens behind a deny-by-default gate.</w:t>
            </w:r>
          </w:p>
        </w:tc>
      </w:tr>
      <w:tr w14:paraId="0FAE3400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A1E508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32B71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Measurement: revocation propagation latency and on-chain cost under load.</w:t>
            </w:r>
          </w:p>
        </w:tc>
      </w:tr>
      <w:tr w14:paraId="531B6F05">
        <w:tc>
          <w:tcPr>
            <w:tcW w:w="100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05FA6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836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78761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Public release and joint paper at a venue of your choosing.</w:t>
            </w:r>
          </w:p>
        </w:tc>
      </w:tr>
    </w:tbl>
    <w:p w14:paraId="4973BC02">
      <w:pPr>
        <w:spacing w:after="120" w:line="276" w:lineRule="auto"/>
      </w:pPr>
    </w:p>
    <w:p w14:paraId="7C448D5B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Why it is compelling</w:t>
      </w:r>
    </w:p>
    <w:p w14:paraId="0A95AEE0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This is the direction where you are already the domain expert, which makes it the lowest-risk collaboration of the five and the one most likely to produce work you would want to keep building on. The measurements are the contribution — a revocation protocol that nobody has benchmarked under load is a design note, not a result.</w:t>
      </w:r>
    </w:p>
    <w:p w14:paraId="43518A78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5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Direction 3 — Tamper-evident audit trail for regulated agents</w:t>
      </w:r>
    </w:p>
    <w:p w14:paraId="0D7D1658">
      <w:pPr>
        <w:spacing w:after="130" w:line="276" w:lineRule="auto"/>
      </w:pPr>
      <w:r>
        <w:rPr>
          <w:rFonts w:ascii="Calibri" w:hAnsi="Calibri" w:eastAsia="Calibri" w:cs="Calibri"/>
          <w:i/>
          <w:iCs/>
          <w:color w:val="1F3A5C"/>
          <w:sz w:val="21"/>
          <w:szCs w:val="21"/>
        </w:rPr>
        <w:t>Recommended as the joint follow-on once Direction 1 or 2 is running.</w:t>
      </w:r>
    </w:p>
    <w:p w14:paraId="04A36231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What we would build</w:t>
      </w:r>
    </w:p>
    <w:p w14:paraId="6ADCD1E6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An append-only, hash-chained record of what an agent actually did, with digests anchored on-chain so that a party who does not trust the operator can still verify the log was not rewritten after an incident. Digests only — never payloads, so no client or patient data reaches a public ledger.</w:t>
      </w:r>
    </w:p>
    <w:p w14:paraId="518FD55E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Hash-chained logging library with Merkle batching, so anchoring cost stays flat as event volume grows.</w:t>
      </w:r>
    </w:p>
    <w:p w14:paraId="7A3791F8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An independent verifier that runs without our infrastructure. This is the actual product: a log only anyone can check is a log nobody need trust us about.</w:t>
      </w:r>
    </w:p>
    <w:p w14:paraId="215122E1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A cost model against real retention horizons — regulated advice and trading records run to roughly seven years — demonstrating the curve is linear and bounded.</w:t>
      </w:r>
    </w:p>
    <w:p w14:paraId="367C2786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A published format specification and a response to the open consultation on securing AI agent systems.</w:t>
      </w:r>
    </w:p>
    <w:p w14:paraId="3049D699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Why it matters now</w:t>
      </w:r>
    </w:p>
    <w:p w14:paraId="0A150673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Of the five, this has the clearest regulatory pull. It maps onto named, dated compliance obligations rather than a research trend, and auditors have begun asking for runtime evidence of what an agent did rather than configuration screenshots. It depends on the trace format that Direction 1 or 2 will have established, which is why I propose it second rather than first.</w:t>
      </w:r>
    </w:p>
    <w:p w14:paraId="377BD28D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6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Direction 4 — Explainable runtime intrusion detection for agents</w:t>
      </w:r>
    </w:p>
    <w:p w14:paraId="53265080">
      <w:pPr>
        <w:spacing w:after="130" w:line="276" w:lineRule="auto"/>
      </w:pPr>
      <w:r>
        <w:rPr>
          <w:rFonts w:ascii="Calibri" w:hAnsi="Calibri" w:eastAsia="Calibri" w:cs="Calibri"/>
          <w:i/>
          <w:iCs/>
          <w:color w:val="1F3A5C"/>
          <w:sz w:val="21"/>
          <w:szCs w:val="21"/>
        </w:rPr>
        <w:t>Strong fit with your existing line; best pursued attached to Direction 1.</w:t>
      </w:r>
    </w:p>
    <w:p w14:paraId="179FF8B3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What we would build</w:t>
      </w:r>
    </w:p>
    <w:p w14:paraId="1FD4B778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Anomaly detection over agent tool-call traces, with an explanation layer that tells a reviewer why a particular call was flagged. Your ensemble-based intrusion detection work for smart city protection, and your explainable machine learning framework in Scientific Reports, are both directly applicable — the detection substrate transfers, and the explanation requirement is the same one clinicians and analysts impose.</w:t>
      </w:r>
    </w:p>
    <w:p w14:paraId="4F83FF01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Instrument tool-call traces; build normal-behaviour baselines per agent role.</w:t>
      </w:r>
    </w:p>
    <w:p w14:paraId="3217437A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Ensemble detector with an explanation layer over each flagged call.</w:t>
      </w:r>
    </w:p>
    <w:p w14:paraId="7692751F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Evaluation against a labelled corpus of genuinely malicious agent behaviour.</w:t>
      </w:r>
    </w:p>
    <w:p w14:paraId="065134B4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An honest note on sequencing</w:t>
      </w:r>
    </w:p>
    <w:p w14:paraId="22F16E74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This direction needs a labelled corpus of real malicious agent behaviour to be evaluated credibly, and no good public one exists yet — which is precisely what Direction 1 produces. Run standalone, the detector would have to be evaluated on synthetic data, and reviewers discount that heavily. Run after or alongside Direction 1, it inherits a defensible evaluation set and becomes a considerably stronger result. I would therefore propose it as a second phase rather than an entry point, unless you have access to a labelled trace corpus I am not aware of — in which case it becomes immediately viable and I would be glad to start here.</w:t>
      </w:r>
    </w:p>
    <w:p w14:paraId="1F5D1271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7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Direction 5 — Clinical agent safety benchmark</w:t>
      </w:r>
    </w:p>
    <w:p w14:paraId="395E3B7D">
      <w:pPr>
        <w:spacing w:after="130" w:line="276" w:lineRule="auto"/>
      </w:pPr>
      <w:r>
        <w:rPr>
          <w:rFonts w:ascii="Calibri" w:hAnsi="Calibri" w:eastAsia="Calibri" w:cs="Calibri"/>
          <w:i/>
          <w:iCs/>
          <w:color w:val="1F3A5C"/>
          <w:sz w:val="21"/>
          <w:szCs w:val="21"/>
        </w:rPr>
        <w:t>Viable and well-matched to your healthcare record; a different problem domain.</w:t>
      </w:r>
    </w:p>
    <w:p w14:paraId="5EF60E02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What we would build</w:t>
      </w:r>
    </w:p>
    <w:p w14:paraId="1E20C91D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A safety benchmark for agents acting on clinical data and workflows — what a clinical agent must refuse, what it must escalate, and what it must never do autonomously. Your explainable machine learning work on hospital length-of-stay prediction and my work with Prof. Liantao Ma at Peking University MedX and Prof. Junyi Gao at the University of Edinburgh's Centre for Medical Informatics, on ICU physiological time-series and MIMIC-IV and VitalDB pipelines, give this a credible foundation on both sides.</w:t>
      </w:r>
    </w:p>
    <w:p w14:paraId="21490439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Task suite covering refusal, escalation and autonomy boundaries for clinical agents.</w:t>
      </w:r>
    </w:p>
    <w:p w14:paraId="23D998F0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Governance note on data handling and de-identification.</w:t>
      </w:r>
    </w:p>
    <w:p w14:paraId="03B4C603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Release through an established dataset host with a citable identifier.</w:t>
      </w:r>
    </w:p>
    <w:p w14:paraId="1CE267F0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An honest note on scope</w:t>
      </w:r>
    </w:p>
    <w:p w14:paraId="319FC402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This is real work and I would enjoy it, but it addresses clinical safety rather than the agent security questions in Directions 1 to 3, and it carries data governance overhead that the others do not. If your priority is the security research path you described, I would hold this one. If you have an active clinical collaboration where it would land well, it becomes considerably more attractive and I am ready to contribute.</w:t>
      </w:r>
    </w:p>
    <w:p w14:paraId="5E375167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8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Sequencing, outputs, and one constraint</w:t>
      </w:r>
    </w:p>
    <w:p w14:paraId="66B08842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A single constraint that shapes every timeline</w:t>
      </w:r>
    </w:p>
    <w:p w14:paraId="6C36A585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Public disclosure ahead of a provisional patent filing forecloses protection. Wherever a direction produces both a filing and an open release, the filing must come first. I have placed each filing gate at month three to four, before the corresponding public release. This protects joint intellectual property, and it is the one part of the schedule I would ask not to compress.</w:t>
      </w:r>
    </w:p>
    <w:p w14:paraId="65C4C415">
      <w:pPr>
        <w:spacing w:before="170" w:after="90"/>
      </w:pPr>
      <w:r>
        <w:rPr>
          <w:rFonts w:ascii="Calibri" w:hAnsi="Calibri" w:eastAsia="Calibri" w:cs="Calibri"/>
          <w:b/>
          <w:bCs/>
          <w:color w:val="444444"/>
          <w:sz w:val="21"/>
          <w:szCs w:val="21"/>
        </w:rPr>
        <w:t>Outputs across the recommended arc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0"/>
        <w:gridCol w:w="6310"/>
      </w:tblGrid>
      <w:tr w14:paraId="72CA0960">
        <w:trPr>
          <w:tblHeader/>
        </w:trPr>
        <w:tc>
          <w:tcPr>
            <w:tcW w:w="305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AEBFD5F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6310" w:type="dxa"/>
            <w:shd w:val="clear" w:color="auto" w:fill="EDF1F6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88D4AE5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Form</w:t>
            </w:r>
          </w:p>
        </w:tc>
      </w:tr>
      <w:tr w14:paraId="404552FC">
        <w:tc>
          <w:tcPr>
            <w:tcW w:w="305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1005E0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Screening tool / revocation library</w:t>
            </w:r>
          </w:p>
        </w:tc>
        <w:tc>
          <w:tcPr>
            <w:tcW w:w="631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DE53D33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Open source, permissive licence, public repository</w:t>
            </w:r>
          </w:p>
        </w:tc>
      </w:tr>
      <w:tr w14:paraId="27BE1578">
        <w:tc>
          <w:tcPr>
            <w:tcW w:w="305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E9EED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Benchmark corpus</w:t>
            </w:r>
          </w:p>
        </w:tc>
        <w:tc>
          <w:tcPr>
            <w:tcW w:w="631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9C3EC6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Public, versioned, citable identifier, with evaluation harness</w:t>
            </w:r>
          </w:p>
        </w:tc>
      </w:tr>
      <w:tr w14:paraId="0BEF4BA7">
        <w:tc>
          <w:tcPr>
            <w:tcW w:w="305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A2F9E4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Provisional patent</w:t>
            </w:r>
          </w:p>
        </w:tc>
        <w:tc>
          <w:tcPr>
            <w:tcW w:w="631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F2B08B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Filed before public release; inventorship as agreed</w:t>
            </w:r>
          </w:p>
        </w:tc>
      </w:tr>
      <w:tr w14:paraId="38504F05">
        <w:tc>
          <w:tcPr>
            <w:tcW w:w="305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512E33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Measurement dataset</w:t>
            </w:r>
          </w:p>
        </w:tc>
        <w:tc>
          <w:tcPr>
            <w:tcW w:w="631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332BF88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Published alongside the implementation</w:t>
            </w:r>
          </w:p>
        </w:tc>
      </w:tr>
      <w:tr w14:paraId="72EE42C2">
        <w:tc>
          <w:tcPr>
            <w:tcW w:w="305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5498121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Standards contribution</w:t>
            </w:r>
          </w:p>
        </w:tc>
        <w:tc>
          <w:tcPr>
            <w:tcW w:w="631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69AE2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Written response to the open consultation on securing AI agent systems</w:t>
            </w:r>
          </w:p>
        </w:tc>
      </w:tr>
      <w:tr w14:paraId="62B69567">
        <w:tc>
          <w:tcPr>
            <w:tcW w:w="305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E8809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Publication</w:t>
            </w:r>
          </w:p>
        </w:tc>
        <w:tc>
          <w:tcPr>
            <w:tcW w:w="6310" w:type="dxa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103DF3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One paper, venue at your discretion — I am glad for this to be led from your side</w:t>
            </w:r>
          </w:p>
        </w:tc>
      </w:tr>
    </w:tbl>
    <w:p w14:paraId="2F0164F9">
      <w:pPr>
        <w:spacing w:after="130" w:line="276" w:lineRule="auto"/>
      </w:pPr>
    </w:p>
    <w:p w14:paraId="78BAE8CD">
      <w:pPr>
        <w:pStyle w:val="2"/>
        <w:spacing w:before="340" w:after="150"/>
      </w:pP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9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Terms I would like settled in writing first</w:t>
      </w:r>
    </w:p>
    <w:p w14:paraId="74A8E09B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Scope — which direction we are committing to, and what constitutes completion.</w:t>
      </w:r>
    </w:p>
    <w:p w14:paraId="4B3A121C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Intellectual property — ownership split on any provisional filing, and confirmation that open-source components are released under a permissive licence.</w:t>
      </w:r>
    </w:p>
    <w:p w14:paraId="01F7C811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Inventorship and authorship — named order agreed at the outset rather than at submission.</w:t>
      </w:r>
    </w:p>
    <w:p w14:paraId="25F25FA2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Payment or appointment terms, if the collaboration runs through the research assistant role.</w:t>
      </w:r>
    </w:p>
    <w:p w14:paraId="5AF26FF7">
      <w:pPr>
        <w:pStyle w:val="16"/>
        <w:numPr>
          <w:ilvl w:val="0"/>
          <w:numId w:val="1"/>
        </w:numPr>
        <w:spacing w:after="85" w:line="276" w:lineRule="auto"/>
      </w:pPr>
      <w:r>
        <w:rPr>
          <w:rFonts w:ascii="Calibri" w:hAnsi="Calibri" w:eastAsia="Calibri" w:cs="Calibri"/>
          <w:sz w:val="21"/>
          <w:szCs w:val="21"/>
        </w:rPr>
        <w:t>Disclosure sequencing — that no public release precedes the corresponding filing.</w:t>
      </w:r>
    </w:p>
    <w:p w14:paraId="5F692629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I raise these now because they are far easier to settle before there is anything to disagree about, not because I anticipate difficulty.</w:t>
      </w:r>
    </w:p>
    <w:p w14:paraId="459C3B36">
      <w:pPr>
        <w:pStyle w:val="2"/>
        <w:spacing w:before="340" w:after="150"/>
      </w:pP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1</w:t>
      </w:r>
      <w:r>
        <w:rPr>
          <w:rFonts w:hint="default" w:ascii="Calibri" w:hAnsi="Calibri" w:eastAsia="Calibri" w:cs="Calibri"/>
          <w:b/>
          <w:bCs/>
          <w:color w:val="1F3A5C"/>
          <w:sz w:val="27"/>
          <w:szCs w:val="27"/>
          <w:lang w:val="en-US"/>
        </w:rPr>
        <w:t>0</w:t>
      </w:r>
      <w:r>
        <w:rPr>
          <w:rFonts w:ascii="Calibri" w:hAnsi="Calibri" w:eastAsia="Calibri" w:cs="Calibri"/>
          <w:b/>
          <w:bCs/>
          <w:color w:val="1F3A5C"/>
          <w:sz w:val="27"/>
          <w:szCs w:val="27"/>
        </w:rPr>
        <w:t>. What I am asking for</w:t>
      </w:r>
    </w:p>
    <w:p w14:paraId="38136AEB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Thirty minutes to choose a starting point. My recommendation is Direction 1; Direction 2 is the strongest alternative and the one closest to your own work; Direction 3 follows naturally from either. I would defer to your judgement on which is the better use of the group's time, and I am prepared to begin the recommended track immediately, at no resource cost to you.</w:t>
      </w:r>
    </w:p>
    <w:p w14:paraId="5F52C983">
      <w:pPr>
        <w:spacing w:after="140" w:line="276" w:lineRule="auto"/>
      </w:pPr>
      <w:r>
        <w:rPr>
          <w:rFonts w:ascii="Calibri" w:hAnsi="Calibri" w:eastAsia="Calibri" w:cs="Calibri"/>
          <w:sz w:val="21"/>
          <w:szCs w:val="21"/>
        </w:rPr>
        <w:t>I can share the smart contract auditing agent architecture and the exploit corpus schema from the NUS work ahead of any call, if that would help you assess the fit.</w:t>
      </w:r>
      <w:bookmarkStart w:id="0" w:name="_GoBack"/>
      <w:bookmarkEnd w:id="0"/>
    </w:p>
    <w:sectPr>
      <w:pgSz w:w="12240" w:h="15840"/>
      <w:pgMar w:top="1180" w:right="1280" w:bottom="1180" w:left="12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EEB3"/>
    <w:multiLevelType w:val="singleLevel"/>
    <w:tmpl w:val="B7FFEEB3"/>
    <w:lvl w:ilvl="0" w:tentative="0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E8FD39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WPS_1748445217</cp:lastModifiedBy>
  <dcterms:modified xsi:type="dcterms:W3CDTF">2026-08-25T08:33:43Z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0C83626A6008D1C8A78B8D6A20884E07_42</vt:lpwstr>
  </property>
</Properties>
</file>