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55237" w14:textId="77777777" w:rsidR="00B342D5" w:rsidRPr="00B342D5" w:rsidRDefault="00B342D5" w:rsidP="00B342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2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B342D5">
        <w:rPr>
          <w:rFonts w:ascii="Times New Roman" w:eastAsia="Times New Roman" w:hAnsi="Times New Roman" w:cs="Times New Roman"/>
          <w:kern w:val="0"/>
          <w14:ligatures w14:val="none"/>
        </w:rPr>
        <w:t xml:space="preserve"> Multiple-choice questions </w:t>
      </w:r>
    </w:p>
    <w:p w14:paraId="2E7FFA3F" w14:textId="77777777" w:rsidR="00B342D5" w:rsidRPr="00B342D5" w:rsidRDefault="00B342D5" w:rsidP="00B342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2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Questions:</w:t>
      </w:r>
      <w:r w:rsidRPr="00B342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342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180 questions</w:t>
      </w:r>
      <w:r w:rsidRPr="00B342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EB01CCC" w14:textId="77777777" w:rsidR="00B342D5" w:rsidRPr="00B342D5" w:rsidRDefault="00B342D5" w:rsidP="00B342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2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Sessions:</w:t>
      </w:r>
      <w:r w:rsidRPr="00B342D5">
        <w:rPr>
          <w:rFonts w:ascii="Times New Roman" w:eastAsia="Times New Roman" w:hAnsi="Times New Roman" w:cs="Times New Roman"/>
          <w:kern w:val="0"/>
          <w14:ligatures w14:val="none"/>
        </w:rPr>
        <w:t xml:space="preserve"> 2 sessions (90 questions each) </w:t>
      </w:r>
    </w:p>
    <w:p w14:paraId="454DBD1D" w14:textId="77777777" w:rsidR="00B342D5" w:rsidRPr="00B342D5" w:rsidRDefault="00B342D5" w:rsidP="00B342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2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B342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25CD6E1" w14:textId="77777777" w:rsidR="00B342D5" w:rsidRPr="00B342D5" w:rsidRDefault="00B342D5" w:rsidP="00B342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2D5">
        <w:rPr>
          <w:rFonts w:ascii="Times New Roman" w:eastAsia="Times New Roman" w:hAnsi="Times New Roman" w:cs="Times New Roman"/>
          <w:kern w:val="0"/>
          <w14:ligatures w14:val="none"/>
        </w:rPr>
        <w:t xml:space="preserve">2 hours 15 minutes per session </w:t>
      </w:r>
    </w:p>
    <w:p w14:paraId="4EAC4B4E" w14:textId="77777777" w:rsidR="00B342D5" w:rsidRPr="00B342D5" w:rsidRDefault="00B342D5" w:rsidP="00B342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2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exam time: 4.5 hours</w:t>
      </w:r>
      <w:r w:rsidRPr="00B342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E1F94EF" w14:textId="77777777" w:rsidR="00B342D5" w:rsidRDefault="00B342D5" w:rsidP="00B342D5">
      <w:pPr>
        <w:spacing w:before="100" w:beforeAutospacing="1" w:after="100" w:afterAutospacing="1" w:line="24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</w:p>
    <w:p w14:paraId="42D1D9CF" w14:textId="46B4B8BA" w:rsidR="00B342D5" w:rsidRPr="00B342D5" w:rsidRDefault="00B342D5" w:rsidP="00B3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42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 (with approximate weight)</w:t>
      </w:r>
    </w:p>
    <w:p w14:paraId="079DB850" w14:textId="77777777" w:rsidR="00B342D5" w:rsidRPr="00B342D5" w:rsidRDefault="00B342D5" w:rsidP="00B34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2D5">
        <w:rPr>
          <w:rFonts w:ascii="Times New Roman" w:eastAsia="Times New Roman" w:hAnsi="Times New Roman" w:cs="Times New Roman"/>
          <w:kern w:val="0"/>
          <w14:ligatures w14:val="none"/>
        </w:rPr>
        <w:t xml:space="preserve">Ethical &amp; Professional Standards (15–20%) </w:t>
      </w:r>
    </w:p>
    <w:p w14:paraId="48B48DEF" w14:textId="77777777" w:rsidR="00B342D5" w:rsidRPr="00B342D5" w:rsidRDefault="00B342D5" w:rsidP="00B34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2D5">
        <w:rPr>
          <w:rFonts w:ascii="Times New Roman" w:eastAsia="Times New Roman" w:hAnsi="Times New Roman" w:cs="Times New Roman"/>
          <w:kern w:val="0"/>
          <w14:ligatures w14:val="none"/>
        </w:rPr>
        <w:t xml:space="preserve">Quantitative Methods (8–12%) </w:t>
      </w:r>
    </w:p>
    <w:p w14:paraId="51B5DE7E" w14:textId="77777777" w:rsidR="00B342D5" w:rsidRPr="00B342D5" w:rsidRDefault="00B342D5" w:rsidP="00B34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2D5">
        <w:rPr>
          <w:rFonts w:ascii="Times New Roman" w:eastAsia="Times New Roman" w:hAnsi="Times New Roman" w:cs="Times New Roman"/>
          <w:kern w:val="0"/>
          <w14:ligatures w14:val="none"/>
        </w:rPr>
        <w:t xml:space="preserve">Economics (8–12%) </w:t>
      </w:r>
    </w:p>
    <w:p w14:paraId="49256B5A" w14:textId="77777777" w:rsidR="00B342D5" w:rsidRPr="00B342D5" w:rsidRDefault="00B342D5" w:rsidP="00B34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2D5">
        <w:rPr>
          <w:rFonts w:ascii="Times New Roman" w:eastAsia="Times New Roman" w:hAnsi="Times New Roman" w:cs="Times New Roman"/>
          <w:kern w:val="0"/>
          <w14:ligatures w14:val="none"/>
        </w:rPr>
        <w:t xml:space="preserve">Financial Statement Analysis (13–17%) </w:t>
      </w:r>
    </w:p>
    <w:p w14:paraId="3B9444E5" w14:textId="77777777" w:rsidR="00B342D5" w:rsidRPr="00B342D5" w:rsidRDefault="00B342D5" w:rsidP="00B34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2D5">
        <w:rPr>
          <w:rFonts w:ascii="Times New Roman" w:eastAsia="Times New Roman" w:hAnsi="Times New Roman" w:cs="Times New Roman"/>
          <w:kern w:val="0"/>
          <w14:ligatures w14:val="none"/>
        </w:rPr>
        <w:t xml:space="preserve">Corporate Issuers (8–12%) </w:t>
      </w:r>
    </w:p>
    <w:p w14:paraId="4223DFEE" w14:textId="77777777" w:rsidR="00B342D5" w:rsidRPr="00B342D5" w:rsidRDefault="00B342D5" w:rsidP="00B34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2D5">
        <w:rPr>
          <w:rFonts w:ascii="Times New Roman" w:eastAsia="Times New Roman" w:hAnsi="Times New Roman" w:cs="Times New Roman"/>
          <w:kern w:val="0"/>
          <w14:ligatures w14:val="none"/>
        </w:rPr>
        <w:t xml:space="preserve">Equity Investments (10–12%) </w:t>
      </w:r>
    </w:p>
    <w:p w14:paraId="75528606" w14:textId="77777777" w:rsidR="00B342D5" w:rsidRPr="00B342D5" w:rsidRDefault="00B342D5" w:rsidP="00B34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2D5">
        <w:rPr>
          <w:rFonts w:ascii="Times New Roman" w:eastAsia="Times New Roman" w:hAnsi="Times New Roman" w:cs="Times New Roman"/>
          <w:kern w:val="0"/>
          <w14:ligatures w14:val="none"/>
        </w:rPr>
        <w:t xml:space="preserve">Fixed Income (10–12%) </w:t>
      </w:r>
    </w:p>
    <w:p w14:paraId="79EC88D7" w14:textId="77777777" w:rsidR="00B342D5" w:rsidRPr="00B342D5" w:rsidRDefault="00B342D5" w:rsidP="00B34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2D5">
        <w:rPr>
          <w:rFonts w:ascii="Times New Roman" w:eastAsia="Times New Roman" w:hAnsi="Times New Roman" w:cs="Times New Roman"/>
          <w:kern w:val="0"/>
          <w14:ligatures w14:val="none"/>
        </w:rPr>
        <w:t xml:space="preserve">Derivatives (5–8%) </w:t>
      </w:r>
    </w:p>
    <w:p w14:paraId="024A9945" w14:textId="77777777" w:rsidR="00B342D5" w:rsidRPr="00B342D5" w:rsidRDefault="00B342D5" w:rsidP="00B34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2D5">
        <w:rPr>
          <w:rFonts w:ascii="Times New Roman" w:eastAsia="Times New Roman" w:hAnsi="Times New Roman" w:cs="Times New Roman"/>
          <w:kern w:val="0"/>
          <w14:ligatures w14:val="none"/>
        </w:rPr>
        <w:t xml:space="preserve">Alternative Investments (5–8%) </w:t>
      </w:r>
    </w:p>
    <w:p w14:paraId="02E6949B" w14:textId="77777777" w:rsidR="00B342D5" w:rsidRPr="00B342D5" w:rsidRDefault="00B342D5" w:rsidP="00B34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2D5">
        <w:rPr>
          <w:rFonts w:ascii="Times New Roman" w:eastAsia="Times New Roman" w:hAnsi="Times New Roman" w:cs="Times New Roman"/>
          <w:kern w:val="0"/>
          <w14:ligatures w14:val="none"/>
        </w:rPr>
        <w:t>Portfolio Management (5–8%)</w:t>
      </w:r>
    </w:p>
    <w:p w14:paraId="77C9EAB1" w14:textId="77777777" w:rsidR="00B342D5" w:rsidRDefault="00B342D5"/>
    <w:sectPr w:rsidR="00B342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22B92"/>
    <w:multiLevelType w:val="multilevel"/>
    <w:tmpl w:val="22A4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C2259C"/>
    <w:multiLevelType w:val="multilevel"/>
    <w:tmpl w:val="0174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243055">
    <w:abstractNumId w:val="0"/>
  </w:num>
  <w:num w:numId="2" w16cid:durableId="1782914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2D5"/>
    <w:rsid w:val="00661EBA"/>
    <w:rsid w:val="00B34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452828"/>
  <w15:chartTrackingRefBased/>
  <w15:docId w15:val="{36FEA439-D1BC-914A-93E8-E91DEB0FD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4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4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2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2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2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2D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342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2026-04-09T22:18:00Z</dcterms:created>
  <dcterms:modified xsi:type="dcterms:W3CDTF">2026-04-09T22:18:00Z</dcterms:modified>
</cp:coreProperties>
</file>