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1F8C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why net income is different from cash flow,isn’t it just the cash-in and cash-out?</w:t>
      </w:r>
    </w:p>
    <w:p w14:paraId="509149F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Anti-risk asset</w:t>
      </w:r>
    </w:p>
    <w:p w14:paraId="72FB571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safe haven currecies</w:t>
      </w:r>
    </w:p>
    <w:p w14:paraId="12A6851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Japanese yuan:net creditor</w:t>
      </w:r>
    </w:p>
    <w:p w14:paraId="6FA2439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subtypes of derivates</w:t>
      </w:r>
    </w:p>
    <w:p w14:paraId="09583D7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risk management and profit generation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ECEAA"/>
    <w:multiLevelType w:val="multilevel"/>
    <w:tmpl w:val="FBFECEA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B297D"/>
    <w:rsid w:val="1FFDEB8F"/>
    <w:rsid w:val="7FD78994"/>
    <w:rsid w:val="FBEB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2026-04-12T16:49:00Z</dcterms:created>
  <dc:creator>WPS_1748445217</dc:creator>
  <cp:lastModifiedBy>WPS_1748445217</cp:lastModifiedBy>
  <dcterms:modified xsi:type="dcterms:W3CDTF">2026-04-12T17:50:20Z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C570E7F33EFF2E2F3F05DC69FF792181_41</vt:lpwstr>
  </property>
</Properties>
</file>