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5D61A">
      <w:pPr>
        <w:pStyle w:val="30"/>
      </w:pPr>
      <w:r>
        <w:t>美国制度百科全书：移民指南</w:t>
      </w:r>
    </w:p>
    <w:p w14:paraId="7F6F717E">
      <w:pPr>
        <w:pStyle w:val="31"/>
      </w:pPr>
      <w:r>
        <w:t>第一章：美国法律与移民体系</w:t>
      </w:r>
    </w:p>
    <w:p w14:paraId="3E566878">
      <w:pPr>
        <w:pStyle w:val="32"/>
      </w:pPr>
      <w:r>
        <w:t>1.1 移民类型与途径</w:t>
      </w:r>
    </w:p>
    <w:p w14:paraId="553C7DFE">
      <w:pPr>
        <w:pStyle w:val="26"/>
        <w:numPr>
          <w:ilvl w:val="0"/>
          <w:numId w:val="1"/>
        </w:numPr>
      </w:pPr>
      <w:r>
        <w:t>1.1.1 职业移民 (EB-1, EB-2, EB-3, NIW)</w:t>
      </w:r>
    </w:p>
    <w:p w14:paraId="2C045E96">
      <w:pPr>
        <w:pStyle w:val="26"/>
        <w:numPr>
          <w:ilvl w:val="0"/>
          <w:numId w:val="1"/>
        </w:numPr>
      </w:pPr>
      <w:r>
        <w:t>1.1.2 亲属移民</w:t>
      </w:r>
    </w:p>
    <w:p w14:paraId="3632AD2E">
      <w:pPr>
        <w:pStyle w:val="26"/>
        <w:numPr>
          <w:ilvl w:val="0"/>
          <w:numId w:val="1"/>
        </w:numPr>
      </w:pPr>
      <w:r>
        <w:t>1.1.3 其他移民类别</w:t>
      </w:r>
    </w:p>
    <w:p w14:paraId="70AAF198">
      <w:pPr>
        <w:pStyle w:val="17"/>
        <w:spacing w:after="60"/>
      </w:pPr>
    </w:p>
    <w:p w14:paraId="24C52C57">
      <w:pPr>
        <w:pStyle w:val="32"/>
      </w:pPr>
      <w:r>
        <w:t>1.2 移民申请流程</w:t>
      </w:r>
    </w:p>
    <w:p w14:paraId="28EA09AD">
      <w:pPr>
        <w:pStyle w:val="26"/>
        <w:numPr>
          <w:ilvl w:val="0"/>
          <w:numId w:val="1"/>
        </w:numPr>
      </w:pPr>
      <w:r>
        <w:t>1.2.1 申请表格与材料 (I-140, I-485, I-765, I-131, G-1145, I-907)</w:t>
      </w:r>
    </w:p>
    <w:p w14:paraId="15347C9B">
      <w:pPr>
        <w:pStyle w:val="26"/>
        <w:numPr>
          <w:ilvl w:val="0"/>
          <w:numId w:val="1"/>
        </w:numPr>
      </w:pPr>
      <w:r>
        <w:t>1.2.2 申请状态查询与调整</w:t>
      </w:r>
    </w:p>
    <w:p w14:paraId="5C4EBD69">
      <w:pPr>
        <w:pStyle w:val="26"/>
        <w:numPr>
          <w:ilvl w:val="0"/>
          <w:numId w:val="1"/>
        </w:numPr>
      </w:pPr>
      <w:r>
        <w:t>1.2.3 绿卡与公民身份</w:t>
      </w:r>
    </w:p>
    <w:p w14:paraId="4F37E4F5">
      <w:pPr>
        <w:pStyle w:val="17"/>
        <w:spacing w:after="60"/>
      </w:pPr>
    </w:p>
    <w:p w14:paraId="1C1E172F">
      <w:pPr>
        <w:pStyle w:val="32"/>
      </w:pPr>
      <w:r>
        <w:t>1.3 法律权利与义务</w:t>
      </w:r>
    </w:p>
    <w:p w14:paraId="0BBD48F7">
      <w:pPr>
        <w:pStyle w:val="26"/>
        <w:numPr>
          <w:ilvl w:val="0"/>
          <w:numId w:val="1"/>
        </w:numPr>
      </w:pPr>
      <w:r>
        <w:t>1.3.1 宪法权利</w:t>
      </w:r>
    </w:p>
    <w:p w14:paraId="3EC6A84E">
      <w:pPr>
        <w:pStyle w:val="26"/>
        <w:numPr>
          <w:ilvl w:val="0"/>
          <w:numId w:val="1"/>
        </w:numPr>
      </w:pPr>
      <w:r>
        <w:t>1.3.2 法律援助与咨询</w:t>
      </w:r>
    </w:p>
    <w:p w14:paraId="7A66E944">
      <w:pPr>
        <w:pStyle w:val="26"/>
        <w:numPr>
          <w:ilvl w:val="0"/>
          <w:numId w:val="1"/>
        </w:numPr>
      </w:pPr>
      <w:r>
        <w:t>1.3.3 犯罪与法律后果</w:t>
      </w:r>
    </w:p>
    <w:p w14:paraId="2203FAB1">
      <w:pPr>
        <w:pStyle w:val="17"/>
        <w:spacing w:after="60"/>
      </w:pPr>
    </w:p>
    <w:p w14:paraId="7F7EFE04">
      <w:pPr>
        <w:pStyle w:val="31"/>
      </w:pPr>
      <w:r>
        <w:t>第二章：美国就业与劳工制度</w:t>
      </w:r>
    </w:p>
    <w:p w14:paraId="4EB4FCAA">
      <w:pPr>
        <w:pStyle w:val="32"/>
      </w:pPr>
      <w:r>
        <w:t>2.1 就业市场与求职</w:t>
      </w:r>
    </w:p>
    <w:p w14:paraId="114A9E57">
      <w:pPr>
        <w:pStyle w:val="26"/>
        <w:numPr>
          <w:ilvl w:val="0"/>
          <w:numId w:val="1"/>
        </w:numPr>
      </w:pPr>
      <w:r>
        <w:t>2.1.1 行业概况与趋势</w:t>
      </w:r>
    </w:p>
    <w:p w14:paraId="39C658E0">
      <w:pPr>
        <w:pStyle w:val="26"/>
        <w:numPr>
          <w:ilvl w:val="0"/>
          <w:numId w:val="1"/>
        </w:numPr>
      </w:pPr>
      <w:r>
        <w:t>2.1.2 求职渠道与技巧</w:t>
      </w:r>
    </w:p>
    <w:p w14:paraId="6CA7D7E5">
      <w:pPr>
        <w:pStyle w:val="26"/>
        <w:numPr>
          <w:ilvl w:val="0"/>
          <w:numId w:val="1"/>
        </w:numPr>
      </w:pPr>
      <w:r>
        <w:t>2.1.3 简历与面试准备</w:t>
      </w:r>
    </w:p>
    <w:p w14:paraId="1E8E5BF7">
      <w:pPr>
        <w:pStyle w:val="17"/>
        <w:spacing w:after="60"/>
      </w:pPr>
    </w:p>
    <w:p w14:paraId="195B1D84">
      <w:pPr>
        <w:pStyle w:val="32"/>
      </w:pPr>
      <w:r>
        <w:t>2.2 劳动合同与权益</w:t>
      </w:r>
    </w:p>
    <w:p w14:paraId="79DE196A">
      <w:pPr>
        <w:pStyle w:val="26"/>
        <w:numPr>
          <w:ilvl w:val="0"/>
          <w:numId w:val="1"/>
        </w:numPr>
      </w:pPr>
      <w:r>
        <w:t>2.2.1 雇佣类型与合同</w:t>
      </w:r>
    </w:p>
    <w:p w14:paraId="32C08A13">
      <w:pPr>
        <w:pStyle w:val="26"/>
        <w:numPr>
          <w:ilvl w:val="0"/>
          <w:numId w:val="1"/>
        </w:numPr>
      </w:pPr>
      <w:r>
        <w:t>2.2.2 最低工资与工时</w:t>
      </w:r>
    </w:p>
    <w:p w14:paraId="07FC7C54">
      <w:pPr>
        <w:pStyle w:val="26"/>
        <w:numPr>
          <w:ilvl w:val="0"/>
          <w:numId w:val="1"/>
        </w:numPr>
      </w:pPr>
      <w:r>
        <w:t>2.2.3 反歧视与工作场所安全</w:t>
      </w:r>
    </w:p>
    <w:p w14:paraId="6BB8A33C">
      <w:pPr>
        <w:pStyle w:val="17"/>
        <w:spacing w:after="60"/>
      </w:pPr>
    </w:p>
    <w:p w14:paraId="66D177EA">
      <w:pPr>
        <w:pStyle w:val="32"/>
      </w:pPr>
      <w:r>
        <w:t>2.3 薪资与福利</w:t>
      </w:r>
    </w:p>
    <w:p w14:paraId="252CBABA">
      <w:pPr>
        <w:pStyle w:val="26"/>
        <w:numPr>
          <w:ilvl w:val="0"/>
          <w:numId w:val="1"/>
        </w:numPr>
      </w:pPr>
      <w:r>
        <w:t>2.3.1 薪资结构与计算</w:t>
      </w:r>
    </w:p>
    <w:p w14:paraId="480E28C6">
      <w:pPr>
        <w:pStyle w:val="26"/>
        <w:numPr>
          <w:ilvl w:val="0"/>
          <w:numId w:val="1"/>
        </w:numPr>
      </w:pPr>
      <w:r>
        <w:t>2.3.2 医疗保险 (1095-A, 1095-B, 1095-C, HSA, FSA)</w:t>
      </w:r>
    </w:p>
    <w:p w14:paraId="2D94944B">
      <w:pPr>
        <w:pStyle w:val="26"/>
        <w:numPr>
          <w:ilvl w:val="0"/>
          <w:numId w:val="1"/>
        </w:numPr>
      </w:pPr>
      <w:r>
        <w:t>2.3.3 退休计划 (401K, Roth IRA)</w:t>
      </w:r>
    </w:p>
    <w:p w14:paraId="1458D93A">
      <w:pPr>
        <w:pStyle w:val="26"/>
        <w:numPr>
          <w:ilvl w:val="0"/>
          <w:numId w:val="1"/>
        </w:numPr>
      </w:pPr>
      <w:r>
        <w:t>2.3.4 其他员工福利 (ESPP, 牙科、眼科、健身、折扣)</w:t>
      </w:r>
    </w:p>
    <w:p w14:paraId="13A82AC9">
      <w:pPr>
        <w:pStyle w:val="17"/>
        <w:spacing w:after="60"/>
      </w:pPr>
    </w:p>
    <w:p w14:paraId="08DD9113">
      <w:pPr>
        <w:pStyle w:val="31"/>
      </w:pPr>
      <w:r>
        <w:t>第三章：美国税务制度</w:t>
      </w:r>
    </w:p>
    <w:p w14:paraId="4AF9560B">
      <w:pPr>
        <w:pStyle w:val="32"/>
      </w:pPr>
      <w:r>
        <w:t>3.1 联邦税与州税</w:t>
      </w:r>
    </w:p>
    <w:p w14:paraId="20F988FD">
      <w:pPr>
        <w:pStyle w:val="26"/>
        <w:numPr>
          <w:ilvl w:val="0"/>
          <w:numId w:val="1"/>
        </w:numPr>
      </w:pPr>
      <w:r>
        <w:t>3.1.1 联邦所得税</w:t>
      </w:r>
    </w:p>
    <w:p w14:paraId="2DE79A78">
      <w:pPr>
        <w:pStyle w:val="26"/>
        <w:numPr>
          <w:ilvl w:val="0"/>
          <w:numId w:val="1"/>
        </w:numPr>
      </w:pPr>
      <w:r>
        <w:t>3.1.2 州所得税与地方税</w:t>
      </w:r>
    </w:p>
    <w:p w14:paraId="710952D7">
      <w:pPr>
        <w:pStyle w:val="26"/>
        <w:numPr>
          <w:ilvl w:val="0"/>
          <w:numId w:val="1"/>
        </w:numPr>
      </w:pPr>
      <w:r>
        <w:t>3.1.3 销售税与财产税</w:t>
      </w:r>
    </w:p>
    <w:p w14:paraId="0F5133DC">
      <w:pPr>
        <w:pStyle w:val="17"/>
        <w:spacing w:after="60"/>
      </w:pPr>
    </w:p>
    <w:p w14:paraId="4BD39D51">
      <w:pPr>
        <w:pStyle w:val="32"/>
      </w:pPr>
      <w:r>
        <w:t>3.2 报税流程与表格</w:t>
      </w:r>
    </w:p>
    <w:p w14:paraId="47AC987C">
      <w:pPr>
        <w:pStyle w:val="26"/>
        <w:numPr>
          <w:ilvl w:val="0"/>
          <w:numId w:val="1"/>
        </w:numPr>
      </w:pPr>
      <w:r>
        <w:t>3.2.1 报税主体与身份 (W-2, 1099系列)</w:t>
      </w:r>
    </w:p>
    <w:p w14:paraId="55ADAF7C">
      <w:pPr>
        <w:pStyle w:val="26"/>
        <w:numPr>
          <w:ilvl w:val="0"/>
          <w:numId w:val="1"/>
        </w:numPr>
      </w:pPr>
      <w:r>
        <w:t>3.2.2 常用报税表格 (Form 1040, W-4, State Withholding Form, Form IT-2104)</w:t>
      </w:r>
    </w:p>
    <w:p w14:paraId="07BAACC9">
      <w:pPr>
        <w:pStyle w:val="26"/>
        <w:numPr>
          <w:ilvl w:val="0"/>
          <w:numId w:val="1"/>
        </w:numPr>
      </w:pPr>
      <w:r>
        <w:t>3.2.3 特殊报税情况 (1098-T, 1098-E, 1099-NEC)</w:t>
      </w:r>
    </w:p>
    <w:p w14:paraId="700FDC78">
      <w:pPr>
        <w:pStyle w:val="17"/>
        <w:spacing w:after="60"/>
      </w:pPr>
    </w:p>
    <w:p w14:paraId="2CA0C2C8">
      <w:pPr>
        <w:pStyle w:val="32"/>
      </w:pPr>
      <w:r>
        <w:t>3.3 节税与税务规划</w:t>
      </w:r>
    </w:p>
    <w:p w14:paraId="4FC4C4A3">
      <w:pPr>
        <w:pStyle w:val="26"/>
        <w:numPr>
          <w:ilvl w:val="0"/>
          <w:numId w:val="1"/>
        </w:numPr>
      </w:pPr>
      <w:r>
        <w:t>3.3.1 个人免税额与抵扣项</w:t>
      </w:r>
    </w:p>
    <w:p w14:paraId="5255CE99">
      <w:pPr>
        <w:pStyle w:val="26"/>
        <w:numPr>
          <w:ilvl w:val="0"/>
          <w:numId w:val="1"/>
        </w:numPr>
      </w:pPr>
      <w:r>
        <w:t>3.3.2 退休账户节税 (401K, IRA)</w:t>
      </w:r>
    </w:p>
    <w:p w14:paraId="390D456A">
      <w:pPr>
        <w:pStyle w:val="26"/>
        <w:numPr>
          <w:ilvl w:val="0"/>
          <w:numId w:val="1"/>
        </w:numPr>
      </w:pPr>
      <w:r>
        <w:t>3.3.3 教育与医疗支出节税 (529 Plan, HSA, FSA)</w:t>
      </w:r>
    </w:p>
    <w:p w14:paraId="3D5E553E">
      <w:pPr>
        <w:pStyle w:val="17"/>
        <w:spacing w:after="60"/>
      </w:pPr>
    </w:p>
    <w:p w14:paraId="5BFA87F5">
      <w:pPr>
        <w:pStyle w:val="31"/>
      </w:pPr>
      <w:r>
        <w:t>第四章：美国教育与社会保障</w:t>
      </w:r>
    </w:p>
    <w:p w14:paraId="77744830">
      <w:pPr>
        <w:pStyle w:val="32"/>
      </w:pPr>
      <w:r>
        <w:t>4.1 教育体系</w:t>
      </w:r>
    </w:p>
    <w:p w14:paraId="7E21D93C">
      <w:pPr>
        <w:pStyle w:val="26"/>
        <w:numPr>
          <w:ilvl w:val="0"/>
          <w:numId w:val="1"/>
        </w:numPr>
      </w:pPr>
      <w:r>
        <w:t>4.1.1 K-12教育</w:t>
      </w:r>
    </w:p>
    <w:p w14:paraId="7E566744">
      <w:pPr>
        <w:pStyle w:val="26"/>
        <w:numPr>
          <w:ilvl w:val="0"/>
          <w:numId w:val="1"/>
        </w:numPr>
      </w:pPr>
      <w:r>
        <w:t>4.1.2 高等教育与助学金</w:t>
      </w:r>
    </w:p>
    <w:p w14:paraId="75B048E4">
      <w:pPr>
        <w:pStyle w:val="26"/>
        <w:numPr>
          <w:ilvl w:val="0"/>
          <w:numId w:val="1"/>
        </w:numPr>
      </w:pPr>
      <w:r>
        <w:t>4.1.3 成人教育与职业培训</w:t>
      </w:r>
    </w:p>
    <w:p w14:paraId="7CAA47BA">
      <w:pPr>
        <w:pStyle w:val="17"/>
        <w:spacing w:after="60"/>
      </w:pPr>
    </w:p>
    <w:p w14:paraId="231871D8">
      <w:pPr>
        <w:pStyle w:val="32"/>
      </w:pPr>
      <w:r>
        <w:t>4.2 医疗保健系统</w:t>
      </w:r>
    </w:p>
    <w:p w14:paraId="231A1E61">
      <w:pPr>
        <w:pStyle w:val="26"/>
        <w:numPr>
          <w:ilvl w:val="0"/>
          <w:numId w:val="1"/>
        </w:numPr>
      </w:pPr>
      <w:r>
        <w:t>4.2.1 医疗保险类型 (Medicare, Medicaid, 私人保险)</w:t>
      </w:r>
    </w:p>
    <w:p w14:paraId="43DD866C">
      <w:pPr>
        <w:pStyle w:val="26"/>
        <w:numPr>
          <w:ilvl w:val="0"/>
          <w:numId w:val="1"/>
        </w:numPr>
      </w:pPr>
      <w:r>
        <w:t>4.2.2 医疗服务与就医流程</w:t>
      </w:r>
    </w:p>
    <w:p w14:paraId="3F89F4F4">
      <w:pPr>
        <w:pStyle w:val="26"/>
        <w:numPr>
          <w:ilvl w:val="0"/>
          <w:numId w:val="1"/>
        </w:numPr>
      </w:pPr>
      <w:r>
        <w:t>4.2.3 药品与处方</w:t>
      </w:r>
    </w:p>
    <w:p w14:paraId="035EDBB3">
      <w:pPr>
        <w:pStyle w:val="17"/>
        <w:spacing w:after="60"/>
      </w:pPr>
    </w:p>
    <w:p w14:paraId="7B03C15C">
      <w:pPr>
        <w:pStyle w:val="32"/>
      </w:pPr>
      <w:r>
        <w:t>4.3 社会保障与福利</w:t>
      </w:r>
    </w:p>
    <w:p w14:paraId="2CECAAAC">
      <w:pPr>
        <w:pStyle w:val="26"/>
        <w:numPr>
          <w:ilvl w:val="0"/>
          <w:numId w:val="1"/>
        </w:numPr>
      </w:pPr>
      <w:r>
        <w:t>4.3.1 社会安全号 (SSN)</w:t>
      </w:r>
    </w:p>
    <w:p w14:paraId="2A9D0C73">
      <w:pPr>
        <w:pStyle w:val="26"/>
        <w:numPr>
          <w:ilvl w:val="0"/>
          <w:numId w:val="1"/>
        </w:numPr>
      </w:pPr>
      <w:r>
        <w:t>4.3.2 社会保障福利 (Social Security Benefits)</w:t>
      </w:r>
    </w:p>
    <w:p w14:paraId="3341C5EF">
      <w:pPr>
        <w:pStyle w:val="26"/>
        <w:numPr>
          <w:ilvl w:val="0"/>
          <w:numId w:val="1"/>
        </w:numPr>
      </w:pPr>
      <w:r>
        <w:t>4.3.3 失业保险与工人赔偿</w:t>
      </w:r>
    </w:p>
    <w:p w14:paraId="0CC93277">
      <w:pPr>
        <w:pStyle w:val="17"/>
        <w:spacing w:after="60"/>
      </w:pPr>
    </w:p>
    <w:p w14:paraId="0587544F">
      <w:pPr>
        <w:pStyle w:val="31"/>
      </w:pPr>
      <w:r>
        <w:t>第五章：美国日常生活与文化</w:t>
      </w:r>
    </w:p>
    <w:p w14:paraId="13EC3000">
      <w:pPr>
        <w:pStyle w:val="32"/>
      </w:pPr>
      <w:r>
        <w:t>5.1 住房与交通</w:t>
      </w:r>
    </w:p>
    <w:p w14:paraId="068F11E1">
      <w:pPr>
        <w:pStyle w:val="26"/>
        <w:numPr>
          <w:ilvl w:val="0"/>
          <w:numId w:val="1"/>
        </w:numPr>
      </w:pPr>
      <w:r>
        <w:t>5.1.1 租房与购房</w:t>
      </w:r>
    </w:p>
    <w:p w14:paraId="56D40E1E">
      <w:pPr>
        <w:pStyle w:val="26"/>
        <w:numPr>
          <w:ilvl w:val="0"/>
          <w:numId w:val="1"/>
        </w:numPr>
      </w:pPr>
      <w:r>
        <w:t>5.1.2 驾驶执照与车辆购买</w:t>
      </w:r>
    </w:p>
    <w:p w14:paraId="70AF1888">
      <w:pPr>
        <w:pStyle w:val="26"/>
        <w:numPr>
          <w:ilvl w:val="0"/>
          <w:numId w:val="1"/>
        </w:numPr>
      </w:pPr>
      <w:r>
        <w:t>5.1.3 公共交通</w:t>
      </w:r>
    </w:p>
    <w:p w14:paraId="3D75CABA">
      <w:pPr>
        <w:pStyle w:val="17"/>
        <w:spacing w:after="60"/>
      </w:pPr>
    </w:p>
    <w:p w14:paraId="5FAA15E8">
      <w:pPr>
        <w:pStyle w:val="32"/>
      </w:pPr>
      <w:r>
        <w:t>5.2 金融与银行</w:t>
      </w:r>
    </w:p>
    <w:p w14:paraId="27FF7716">
      <w:pPr>
        <w:pStyle w:val="26"/>
        <w:numPr>
          <w:ilvl w:val="0"/>
          <w:numId w:val="1"/>
        </w:numPr>
      </w:pPr>
      <w:r>
        <w:t>5.2.1 银行开户与金融服务</w:t>
      </w:r>
    </w:p>
    <w:p w14:paraId="1A0AE512">
      <w:pPr>
        <w:pStyle w:val="26"/>
        <w:numPr>
          <w:ilvl w:val="0"/>
          <w:numId w:val="1"/>
        </w:numPr>
      </w:pPr>
      <w:r>
        <w:t>5.2.2 信用体系与信用报告</w:t>
      </w:r>
    </w:p>
    <w:p w14:paraId="01E071F4">
      <w:pPr>
        <w:pStyle w:val="26"/>
        <w:numPr>
          <w:ilvl w:val="0"/>
          <w:numId w:val="1"/>
        </w:numPr>
      </w:pPr>
      <w:r>
        <w:t>5.2.3 投资理财基础知识</w:t>
      </w:r>
    </w:p>
    <w:p w14:paraId="405EEC47">
      <w:pPr>
        <w:pStyle w:val="17"/>
        <w:spacing w:after="60"/>
      </w:pPr>
    </w:p>
    <w:p w14:paraId="1C1AE703">
      <w:pPr>
        <w:pStyle w:val="32"/>
      </w:pPr>
      <w:r>
        <w:t>5.3 文化与习俗</w:t>
      </w:r>
    </w:p>
    <w:p w14:paraId="0ED7564A">
      <w:pPr>
        <w:pStyle w:val="26"/>
        <w:numPr>
          <w:ilvl w:val="0"/>
          <w:numId w:val="1"/>
        </w:numPr>
      </w:pPr>
      <w:r>
        <w:t>5.3.1 美国价值观与社会礼仪</w:t>
      </w:r>
    </w:p>
    <w:p w14:paraId="306A4E41">
      <w:pPr>
        <w:pStyle w:val="26"/>
        <w:numPr>
          <w:ilvl w:val="0"/>
          <w:numId w:val="1"/>
        </w:numPr>
      </w:pPr>
      <w:r>
        <w:t>5.3.2 节假日与传统</w:t>
      </w:r>
    </w:p>
    <w:p w14:paraId="1B23B050">
      <w:pPr>
        <w:pStyle w:val="26"/>
        <w:numPr>
          <w:ilvl w:val="0"/>
          <w:numId w:val="1"/>
        </w:numPr>
      </w:pPr>
      <w:r>
        <w:t>5.3.3 社区参与与公民责任</w:t>
      </w:r>
    </w:p>
    <w:p w14:paraId="7C6E0197">
      <w:pPr>
        <w:pStyle w:val="26"/>
        <w:ind w:left="0" w:firstLine="0"/>
      </w:pPr>
    </w:p>
    <w:p w14:paraId="24C64448">
      <w:pPr>
        <w:pStyle w:val="32"/>
      </w:pPr>
      <w:r>
        <w:t>5.4 时间、时区与日常沟通</w:t>
      </w:r>
    </w:p>
    <w:p w14:paraId="7D97E1B3">
      <w:pPr>
        <w:pStyle w:val="26"/>
        <w:numPr>
          <w:ilvl w:val="0"/>
          <w:numId w:val="2"/>
        </w:numPr>
      </w:pPr>
      <w:r>
        <w:t>5.4.1 美国主要时区</w:t>
      </w:r>
    </w:p>
    <w:p w14:paraId="7F2DC10A">
      <w:pPr>
        <w:pStyle w:val="26"/>
        <w:numPr>
          <w:ilvl w:val="0"/>
          <w:numId w:val="2"/>
        </w:numPr>
      </w:pPr>
      <w:r>
        <w:t>5.4.2 夏令时与冬令时</w:t>
      </w:r>
    </w:p>
    <w:p w14:paraId="78F007C4">
      <w:pPr>
        <w:pStyle w:val="26"/>
        <w:numPr>
          <w:ilvl w:val="0"/>
          <w:numId w:val="2"/>
        </w:numPr>
      </w:pPr>
      <w:r>
        <w:t>5.4.3 国际沟通常用时差（中国、英国、迪拜等）</w:t>
      </w:r>
    </w:p>
    <w:p w14:paraId="47E906C9">
      <w:pPr>
        <w:pStyle w:val="26"/>
        <w:numPr>
          <w:ilvl w:val="0"/>
          <w:numId w:val="2"/>
        </w:numPr>
      </w:pPr>
      <w:r>
        <w:t>5.4.4 跨时区工作与会议安排技巧</w:t>
      </w:r>
    </w:p>
    <w:p w14:paraId="65B7A822">
      <w:pPr>
        <w:pStyle w:val="26"/>
        <w:ind w:left="0" w:firstLine="0"/>
      </w:pPr>
    </w:p>
    <w:p w14:paraId="6931AC42">
      <w:pPr>
        <w:pStyle w:val="32"/>
      </w:pPr>
      <w:r>
        <w:t>5.5 时尚（Fashion）</w:t>
      </w:r>
    </w:p>
    <w:p w14:paraId="4B02DC5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C0195B">
      <w:pPr>
        <w:pStyle w:val="26"/>
        <w:numPr>
          <w:ilvl w:val="0"/>
          <w:numId w:val="2"/>
        </w:numPr>
      </w:pPr>
      <w:r>
        <w:t>5.5.1 服装文化与着装规范</w:t>
      </w:r>
    </w:p>
    <w:p w14:paraId="75787BC1">
      <w:pPr>
        <w:pStyle w:val="26"/>
        <w:numPr>
          <w:ilvl w:val="0"/>
          <w:numId w:val="2"/>
        </w:numPr>
      </w:pPr>
      <w:r>
        <w:t>5.5.2 常见服装零售商店</w:t>
      </w:r>
    </w:p>
    <w:p w14:paraId="0C1B4F9C">
      <w:pPr>
        <w:pStyle w:val="26"/>
        <w:numPr>
          <w:ilvl w:val="0"/>
          <w:numId w:val="2"/>
        </w:numPr>
      </w:pPr>
      <w:r>
        <w:t>5.5.3 鞋店与鞋类购物</w:t>
      </w:r>
    </w:p>
    <w:p w14:paraId="1B44F857">
      <w:pPr>
        <w:pStyle w:val="26"/>
        <w:numPr>
          <w:ilvl w:val="0"/>
          <w:numId w:val="2"/>
        </w:numPr>
      </w:pPr>
      <w:r>
        <w:t>5.5.4 服装尺码与试穿</w:t>
      </w:r>
    </w:p>
    <w:p w14:paraId="5B0214CD">
      <w:pPr>
        <w:pStyle w:val="26"/>
        <w:numPr>
          <w:ilvl w:val="0"/>
          <w:numId w:val="2"/>
        </w:numPr>
      </w:pPr>
      <w:r>
        <w:t>5.5.5</w:t>
      </w:r>
      <w:r>
        <w:rPr>
          <w:rFonts w:hint="default"/>
          <w:lang w:val="en-US"/>
        </w:rPr>
        <w:t xml:space="preserve"> </w:t>
      </w:r>
      <w:r>
        <w:t>季节性促销与购物技巧</w:t>
      </w:r>
    </w:p>
    <w:p w14:paraId="062A39CC">
      <w:pPr>
        <w:pStyle w:val="26"/>
        <w:numPr>
          <w:ilvl w:val="0"/>
          <w:numId w:val="2"/>
        </w:numPr>
      </w:pPr>
      <w:r>
        <w:t>5.5.6 个人风格与自我表达</w:t>
      </w:r>
    </w:p>
    <w:p w14:paraId="21C024D1">
      <w:pPr>
        <w:pStyle w:val="26"/>
        <w:ind w:left="0" w:firstLine="0"/>
      </w:pPr>
    </w:p>
    <w:p w14:paraId="3E00EADF">
      <w:pPr>
        <w:pStyle w:val="31"/>
      </w:pPr>
      <w:r>
        <w:t>第</w:t>
      </w:r>
      <w:r>
        <w:rPr>
          <w:rFonts w:hint="eastAsia"/>
        </w:rPr>
        <w:t>六</w:t>
      </w:r>
      <w:r>
        <w:t>章：</w:t>
      </w:r>
      <w:r>
        <w:rPr>
          <w:rFonts w:hint="eastAsia"/>
        </w:rPr>
        <w:t>常识</w:t>
      </w:r>
    </w:p>
    <w:p w14:paraId="3FE2F0D5">
      <w:pPr>
        <w:pStyle w:val="26"/>
        <w:ind w:left="0" w:firstLine="0"/>
      </w:pPr>
    </w:p>
    <w:p w14:paraId="16818076">
      <w:pPr>
        <w:pStyle w:val="31"/>
      </w:pPr>
      <w:r>
        <w:t>第</w:t>
      </w:r>
      <w:r>
        <w:rPr>
          <w:rFonts w:hint="eastAsia"/>
        </w:rPr>
        <w:t>七</w:t>
      </w:r>
      <w:r>
        <w:t>章：</w:t>
      </w:r>
      <w:r>
        <w:rPr>
          <w:rFonts w:hint="eastAsia"/>
        </w:rPr>
        <w:t>专业知识</w:t>
      </w:r>
    </w:p>
    <w:p w14:paraId="76F7ABAA">
      <w:pPr>
        <w:pStyle w:val="26"/>
        <w:ind w:left="0" w:firstLine="0"/>
      </w:pPr>
    </w:p>
    <w:p w14:paraId="18CCE4D3">
      <w:pPr>
        <w:pStyle w:val="26"/>
        <w:ind w:left="0" w:firstLine="0"/>
      </w:pPr>
    </w:p>
    <w:p w14:paraId="570D139E">
      <w:pPr>
        <w:pStyle w:val="31"/>
        <w:rPr>
          <w:rFonts w:hint="default" w:eastAsiaTheme="minorEastAsia"/>
          <w:lang w:val="en-US" w:eastAsia="zh-CN"/>
        </w:rPr>
      </w:pPr>
      <w:bookmarkStart w:id="0" w:name="_GoBack"/>
      <w:r>
        <w:t>第</w:t>
      </w:r>
      <w:r>
        <w:rPr>
          <w:rFonts w:hint="eastAsia"/>
          <w:lang w:val="en-US" w:eastAsia="zh-CN"/>
        </w:rPr>
        <w:t>八</w:t>
      </w:r>
      <w:r>
        <w:t>章：</w:t>
      </w:r>
      <w:r>
        <w:rPr>
          <w:rFonts w:hint="eastAsia"/>
          <w:lang w:val="en-US" w:eastAsia="zh-CN"/>
        </w:rPr>
        <w:t>地理知识</w:t>
      </w:r>
    </w:p>
    <w:p w14:paraId="518CA178">
      <w:pPr>
        <w:pStyle w:val="26"/>
        <w:ind w:left="0" w:firstLine="0"/>
      </w:pPr>
    </w:p>
    <w:p w14:paraId="19A4B8FF">
      <w:pPr>
        <w:pStyle w:val="26"/>
        <w:numPr>
          <w:ilvl w:val="0"/>
          <w:numId w:val="2"/>
        </w:numPr>
      </w:pPr>
      <w:r>
        <w:t>8.1 美国区域与主要城市</w:t>
      </w:r>
    </w:p>
    <w:p w14:paraId="4C53A585">
      <w:pPr>
        <w:pStyle w:val="26"/>
        <w:numPr>
          <w:ilvl w:val="0"/>
          <w:numId w:val="2"/>
        </w:numPr>
      </w:pPr>
      <w:r>
        <w:t>8.2 各州特点概述</w:t>
      </w:r>
    </w:p>
    <w:p w14:paraId="02EB0995">
      <w:pPr>
        <w:pStyle w:val="26"/>
        <w:numPr>
          <w:ilvl w:val="0"/>
          <w:numId w:val="2"/>
        </w:numPr>
      </w:pPr>
      <w:r>
        <w:t>8.3 地图与基础导航知识</w:t>
      </w:r>
    </w:p>
    <w:p w14:paraId="4D438E36">
      <w:pPr>
        <w:pStyle w:val="26"/>
        <w:numPr>
          <w:ilvl w:val="0"/>
          <w:numId w:val="2"/>
        </w:numPr>
      </w:pPr>
      <w:r>
        <w:t>8.4 气候与自然地理特征</w:t>
      </w:r>
    </w:p>
    <w:p w14:paraId="07C2C04D">
      <w:pPr>
        <w:pStyle w:val="26"/>
        <w:numPr>
          <w:ilvl w:val="0"/>
          <w:numId w:val="2"/>
        </w:numPr>
      </w:pPr>
      <w:r>
        <w:t>8.5 地理位置认知：州与城市（案例学习）</w:t>
      </w:r>
    </w:p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C76D7"/>
    <w:multiLevelType w:val="multilevel"/>
    <w:tmpl w:val="FE4C76D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E51"/>
    <w:rsid w:val="003E79BD"/>
    <w:rsid w:val="004154DE"/>
    <w:rsid w:val="00442E51"/>
    <w:rsid w:val="25777792"/>
    <w:rsid w:val="664FF37A"/>
    <w:rsid w:val="6B7D81D3"/>
    <w:rsid w:val="7F2DD483"/>
    <w:rsid w:val="9F7F65F8"/>
    <w:rsid w:val="BBAF24EA"/>
    <w:rsid w:val="FFBAF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Theme="minorHAnsi" w:hAnsiTheme="minorHAnsi" w:eastAsiaTheme="minorEastAsia" w:cstheme="minorBidi"/>
      <w:color w:val="2E74B5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Theme="minorHAnsi" w:hAnsiTheme="minorHAnsi" w:eastAsiaTheme="minorEastAsia" w:cstheme="minorBidi"/>
      <w:color w:val="2E74B5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Theme="minorHAnsi" w:hAnsiTheme="minorHAnsi" w:eastAsiaTheme="minorEastAsia" w:cstheme="minorBidi"/>
      <w:color w:val="1F4D78"/>
      <w:sz w:val="24"/>
      <w:szCs w:val="24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Theme="minorHAnsi" w:hAnsiTheme="minorHAnsi" w:eastAsiaTheme="minorEastAsia" w:cstheme="minorBidi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Theme="minorHAnsi" w:hAnsiTheme="minorHAnsi" w:eastAsiaTheme="minorEastAsia" w:cstheme="minorBidi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Theme="minorHAnsi" w:hAnsiTheme="minorHAnsi" w:eastAsiaTheme="minorEastAsia" w:cstheme="minorBidi"/>
      <w:color w:val="1F4D78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6"/>
    <w:semiHidden/>
    <w:unhideWhenUsed/>
    <w:uiPriority w:val="99"/>
    <w:rPr>
      <w:rFonts w:asciiTheme="minorHAnsi" w:hAnsiTheme="minorHAnsi" w:eastAsiaTheme="minorEastAsia" w:cstheme="minorBidi"/>
      <w:lang w:val="en-US" w:eastAsia="zh-CN" w:bidi="ar-SA"/>
    </w:rPr>
  </w:style>
  <w:style w:type="character" w:styleId="12">
    <w:name w:val="Hyperlink"/>
    <w:unhideWhenUsed/>
    <w:uiPriority w:val="99"/>
    <w:rPr>
      <w:color w:val="0563C1"/>
      <w:u w:val="single" w:color="0563C1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en-US" w:eastAsia="zh-CN" w:bidi="ar-SA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6">
    <w:name w:val="Footnote Text Char"/>
    <w:link w:val="11"/>
    <w:semiHidden/>
    <w:unhideWhenUsed/>
    <w:uiPriority w:val="99"/>
    <w:rPr>
      <w:sz w:val="20"/>
      <w:szCs w:val="20"/>
    </w:rPr>
  </w:style>
  <w:style w:type="paragraph" w:customStyle="1" w:styleId="17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8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  <w:lang w:val="en-US" w:eastAsia="zh-CN" w:bidi="ar-SA"/>
    </w:rPr>
  </w:style>
  <w:style w:type="paragraph" w:customStyle="1" w:styleId="19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0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  <w:lang w:val="en-US" w:eastAsia="zh-CN" w:bidi="ar-SA"/>
    </w:rPr>
  </w:style>
  <w:style w:type="paragraph" w:customStyle="1" w:styleId="21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  <w:lang w:val="en-US" w:eastAsia="zh-CN" w:bidi="ar-SA"/>
    </w:rPr>
  </w:style>
  <w:style w:type="paragraph" w:customStyle="1" w:styleId="22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3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4">
    <w:name w:val="MdText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5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  <w:lang w:val="en-US" w:eastAsia="zh-CN" w:bidi="ar-SA"/>
    </w:rPr>
  </w:style>
  <w:style w:type="paragraph" w:customStyle="1" w:styleId="26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7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8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  <w:lang w:val="en-US" w:eastAsia="zh-CN" w:bidi="ar-SA"/>
    </w:rPr>
  </w:style>
  <w:style w:type="paragraph" w:customStyle="1" w:styleId="29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0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  <w:lang w:val="en-US" w:eastAsia="zh-CN" w:bidi="ar-SA"/>
    </w:rPr>
  </w:style>
  <w:style w:type="paragraph" w:customStyle="1" w:styleId="31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  <w:lang w:val="en-US" w:eastAsia="zh-CN" w:bidi="ar-SA"/>
    </w:rPr>
  </w:style>
  <w:style w:type="paragraph" w:customStyle="1" w:styleId="32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  <w:lang w:val="en-US" w:eastAsia="zh-CN" w:bidi="ar-SA"/>
    </w:rPr>
  </w:style>
  <w:style w:type="paragraph" w:customStyle="1" w:styleId="33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  <w:lang w:val="en-US" w:eastAsia="zh-CN" w:bidi="ar-SA"/>
    </w:rPr>
  </w:style>
  <w:style w:type="paragraph" w:customStyle="1" w:styleId="34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  <w:lang w:val="en-US" w:eastAsia="zh-CN" w:bidi="ar-SA"/>
    </w:rPr>
  </w:style>
  <w:style w:type="paragraph" w:customStyle="1" w:styleId="35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  <w:lang w:val="en-US" w:eastAsia="zh-CN" w:bidi="ar-SA"/>
    </w:rPr>
  </w:style>
  <w:style w:type="character" w:customStyle="1" w:styleId="36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7">
    <w:name w:val="MdLink"/>
    <w:unhideWhenUsed/>
    <w:qFormat/>
    <w:uiPriority w:val="99"/>
    <w:rPr>
      <w:color w:val="0563C1"/>
      <w:u w:val="single"/>
    </w:rPr>
  </w:style>
  <w:style w:type="character" w:customStyle="1" w:styleId="38">
    <w:name w:val="MdStrong"/>
    <w:unhideWhenUsed/>
    <w:qFormat/>
    <w:uiPriority w:val="99"/>
    <w:rPr>
      <w:b/>
      <w:bCs/>
    </w:rPr>
  </w:style>
  <w:style w:type="character" w:customStyle="1" w:styleId="39">
    <w:name w:val="MdEm"/>
    <w:unhideWhenUsed/>
    <w:qFormat/>
    <w:uiPriority w:val="99"/>
    <w:rPr>
      <w:i/>
      <w:iCs/>
    </w:rPr>
  </w:style>
  <w:style w:type="character" w:customStyle="1" w:styleId="40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1">
    <w:name w:val="MdDel"/>
    <w:unhideWhenUsed/>
    <w:qFormat/>
    <w:uiPriority w:val="99"/>
    <w:rPr>
      <w:strike/>
    </w:rPr>
  </w:style>
  <w:style w:type="character" w:customStyle="1" w:styleId="42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</Words>
  <Characters>1136</Characters>
  <Lines>9</Lines>
  <Paragraphs>2</Paragraphs>
  <TotalTime>1</TotalTime>
  <ScaleCrop>false</ScaleCrop>
  <LinksUpToDate>false</LinksUpToDate>
  <CharactersWithSpaces>1333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2026-03-16T04:43:00Z</dcterms:created>
  <dc:creator>md2docx converter</dc:creator>
  <dc:description>Converted from Markdown</dc:description>
  <cp:lastModifiedBy>WPS_1748445217</cp:lastModifiedBy>
  <dcterms:modified xsi:type="dcterms:W3CDTF">2026-04-02T20:53:06Z</dcterms:modified>
  <dc:title>Converted Document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BC6A22604B7EBED9CB4CB7691D72E122_42</vt:lpwstr>
  </property>
</Properties>
</file>