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BFE556">
      <w:pPr>
        <w:pStyle w:val="2"/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Private Credit</w:t>
      </w:r>
    </w:p>
    <w:p w14:paraId="5A2640F1">
      <w:pPr>
        <w:pStyle w:val="3"/>
        <w:numPr>
          <w:ilvl w:val="0"/>
          <w:numId w:val="1"/>
        </w:numPr>
        <w:rPr>
          <w:b/>
          <w:bCs/>
        </w:rPr>
      </w:pPr>
      <w:r>
        <w:rPr>
          <w:rFonts w:hint="default"/>
          <w:b/>
          <w:bCs/>
          <w:lang w:val="en-US"/>
        </w:rPr>
        <w:t>Overview</w:t>
      </w:r>
    </w:p>
    <w:p w14:paraId="4DD29D6E">
      <w:r>
        <w:br w:type="page"/>
      </w:r>
    </w:p>
    <w:p w14:paraId="31A1B375">
      <w:pPr>
        <w:pStyle w:val="3"/>
        <w:numPr>
          <w:ilvl w:val="0"/>
          <w:numId w:val="1"/>
        </w:numPr>
        <w:rPr>
          <w:b/>
          <w:bCs/>
        </w:rPr>
      </w:pPr>
      <w:r>
        <w:rPr>
          <w:rFonts w:hint="default"/>
          <w:b/>
          <w:bCs/>
          <w:lang w:val="en-US"/>
        </w:rPr>
        <w:t>Indicator</w:t>
      </w:r>
    </w:p>
    <w:tbl>
      <w:tblPr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0"/>
        <w:gridCol w:w="1294"/>
        <w:gridCol w:w="5532"/>
      </w:tblGrid>
      <w:tr w14:paraId="6F9FE572">
        <w:trPr>
          <w:trHeight w:val="336" w:hRule="atLeast"/>
        </w:trPr>
        <w:tc>
          <w:tcPr>
            <w:tcW w:w="1485" w:type="pct"/>
            <w:shd w:val="clear"/>
            <w:noWrap/>
            <w:vAlign w:val="bottom"/>
          </w:tcPr>
          <w:p w14:paraId="6CFE097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Category</w:t>
            </w:r>
          </w:p>
        </w:tc>
        <w:tc>
          <w:tcPr>
            <w:tcW w:w="1340" w:type="pct"/>
            <w:shd w:val="clear"/>
            <w:noWrap/>
            <w:vAlign w:val="bottom"/>
          </w:tcPr>
          <w:p w14:paraId="71FC82C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Chinese</w:t>
            </w:r>
          </w:p>
        </w:tc>
        <w:tc>
          <w:tcPr>
            <w:tcW w:w="2173" w:type="pct"/>
            <w:shd w:val="clear"/>
            <w:noWrap/>
            <w:vAlign w:val="bottom"/>
          </w:tcPr>
          <w:p w14:paraId="66DAB6F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Standard English Indicator</w:t>
            </w:r>
          </w:p>
        </w:tc>
      </w:tr>
      <w:tr w14:paraId="3FB1F913">
        <w:trPr>
          <w:trHeight w:val="336" w:hRule="atLeast"/>
        </w:trPr>
        <w:tc>
          <w:tcPr>
            <w:tcW w:w="1485" w:type="pct"/>
            <w:shd w:val="clear"/>
            <w:noWrap/>
            <w:vAlign w:val="bottom"/>
          </w:tcPr>
          <w:p w14:paraId="0EF5297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Financial Metrics</w:t>
            </w:r>
          </w:p>
        </w:tc>
        <w:tc>
          <w:tcPr>
            <w:tcW w:w="1340" w:type="pct"/>
            <w:shd w:val="clear"/>
            <w:noWrap/>
            <w:vAlign w:val="bottom"/>
          </w:tcPr>
          <w:p w14:paraId="7A6EDA7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现金流覆盖率</w:t>
            </w:r>
          </w:p>
        </w:tc>
        <w:tc>
          <w:tcPr>
            <w:tcW w:w="2173" w:type="pct"/>
            <w:shd w:val="clear"/>
            <w:noWrap/>
            <w:vAlign w:val="bottom"/>
          </w:tcPr>
          <w:p w14:paraId="6E9A9B5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Debt Service Coverage Ratio (DSCR)</w:t>
            </w:r>
          </w:p>
        </w:tc>
      </w:tr>
      <w:tr w14:paraId="10F0273F">
        <w:trPr>
          <w:trHeight w:val="336" w:hRule="atLeast"/>
        </w:trPr>
        <w:tc>
          <w:tcPr>
            <w:tcW w:w="1485" w:type="pct"/>
            <w:shd w:val="clear"/>
            <w:noWrap/>
            <w:vAlign w:val="bottom"/>
          </w:tcPr>
          <w:p w14:paraId="77F6B71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Financial Metrics</w:t>
            </w:r>
          </w:p>
        </w:tc>
        <w:tc>
          <w:tcPr>
            <w:tcW w:w="1340" w:type="pct"/>
            <w:shd w:val="clear"/>
            <w:noWrap/>
            <w:vAlign w:val="bottom"/>
          </w:tcPr>
          <w:p w14:paraId="359F069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杠杆率</w:t>
            </w:r>
          </w:p>
        </w:tc>
        <w:tc>
          <w:tcPr>
            <w:tcW w:w="2173" w:type="pct"/>
            <w:shd w:val="clear"/>
            <w:noWrap/>
            <w:vAlign w:val="bottom"/>
          </w:tcPr>
          <w:p w14:paraId="28AF8CB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Leverage Ratio (e.g., Debt-to-EBITDA, Debt-to-Equity, Net Leverage Ratio)</w:t>
            </w:r>
          </w:p>
        </w:tc>
      </w:tr>
      <w:tr w14:paraId="56DD3C8F">
        <w:trPr>
          <w:trHeight w:val="336" w:hRule="atLeast"/>
        </w:trPr>
        <w:tc>
          <w:tcPr>
            <w:tcW w:w="1485" w:type="pct"/>
            <w:shd w:val="clear"/>
            <w:noWrap/>
            <w:vAlign w:val="bottom"/>
          </w:tcPr>
          <w:p w14:paraId="073E86A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Financial Metrics</w:t>
            </w:r>
          </w:p>
        </w:tc>
        <w:tc>
          <w:tcPr>
            <w:tcW w:w="1340" w:type="pct"/>
            <w:shd w:val="clear"/>
            <w:noWrap/>
            <w:vAlign w:val="bottom"/>
          </w:tcPr>
          <w:p w14:paraId="50E56BA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营收增长</w:t>
            </w:r>
          </w:p>
        </w:tc>
        <w:tc>
          <w:tcPr>
            <w:tcW w:w="2173" w:type="pct"/>
            <w:shd w:val="clear"/>
            <w:noWrap/>
            <w:vAlign w:val="bottom"/>
          </w:tcPr>
          <w:p w14:paraId="53F5B51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Revenue Growth / Revenue Growth Rate</w:t>
            </w:r>
          </w:p>
        </w:tc>
      </w:tr>
      <w:tr w14:paraId="257A70D1">
        <w:trPr>
          <w:trHeight w:val="336" w:hRule="atLeast"/>
        </w:trPr>
        <w:tc>
          <w:tcPr>
            <w:tcW w:w="1485" w:type="pct"/>
            <w:shd w:val="clear"/>
            <w:noWrap/>
            <w:vAlign w:val="bottom"/>
          </w:tcPr>
          <w:p w14:paraId="0930450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Financial Metrics</w:t>
            </w:r>
          </w:p>
        </w:tc>
        <w:tc>
          <w:tcPr>
            <w:tcW w:w="1340" w:type="pct"/>
            <w:shd w:val="clear"/>
            <w:noWrap/>
            <w:vAlign w:val="bottom"/>
          </w:tcPr>
          <w:p w14:paraId="18C822F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EBITDA 利润率</w:t>
            </w:r>
          </w:p>
        </w:tc>
        <w:tc>
          <w:tcPr>
            <w:tcW w:w="2173" w:type="pct"/>
            <w:shd w:val="clear"/>
            <w:noWrap/>
            <w:vAlign w:val="bottom"/>
          </w:tcPr>
          <w:p w14:paraId="5B813BC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EBITDA Margin</w:t>
            </w:r>
          </w:p>
        </w:tc>
      </w:tr>
      <w:tr w14:paraId="62ECB1C7">
        <w:trPr>
          <w:trHeight w:val="336" w:hRule="atLeast"/>
        </w:trPr>
        <w:tc>
          <w:tcPr>
            <w:tcW w:w="1485" w:type="pct"/>
            <w:shd w:val="clear"/>
            <w:noWrap/>
            <w:vAlign w:val="bottom"/>
          </w:tcPr>
          <w:p w14:paraId="79A105B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Loan Characteristics</w:t>
            </w:r>
          </w:p>
        </w:tc>
        <w:tc>
          <w:tcPr>
            <w:tcW w:w="1340" w:type="pct"/>
            <w:shd w:val="clear"/>
            <w:noWrap/>
            <w:vAlign w:val="bottom"/>
          </w:tcPr>
          <w:p w14:paraId="232993E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抵押物类型</w:t>
            </w:r>
          </w:p>
        </w:tc>
        <w:tc>
          <w:tcPr>
            <w:tcW w:w="2173" w:type="pct"/>
            <w:shd w:val="clear"/>
            <w:noWrap/>
            <w:vAlign w:val="bottom"/>
          </w:tcPr>
          <w:p w14:paraId="6A2D13A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Collateral Type</w:t>
            </w:r>
          </w:p>
        </w:tc>
      </w:tr>
      <w:tr w14:paraId="226326D9">
        <w:trPr>
          <w:trHeight w:val="336" w:hRule="atLeast"/>
        </w:trPr>
        <w:tc>
          <w:tcPr>
            <w:tcW w:w="1485" w:type="pct"/>
            <w:shd w:val="clear"/>
            <w:noWrap/>
            <w:vAlign w:val="bottom"/>
          </w:tcPr>
          <w:p w14:paraId="16D58B3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Loan Characteristics</w:t>
            </w:r>
          </w:p>
        </w:tc>
        <w:tc>
          <w:tcPr>
            <w:tcW w:w="1340" w:type="pct"/>
            <w:shd w:val="clear"/>
            <w:noWrap/>
            <w:vAlign w:val="bottom"/>
          </w:tcPr>
          <w:p w14:paraId="0BE0A0C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抵押物估值</w:t>
            </w:r>
          </w:p>
        </w:tc>
        <w:tc>
          <w:tcPr>
            <w:tcW w:w="2173" w:type="pct"/>
            <w:shd w:val="clear"/>
            <w:noWrap/>
            <w:vAlign w:val="bottom"/>
          </w:tcPr>
          <w:p w14:paraId="18875B8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Collateral Valuation / Appraised Collateral Value</w:t>
            </w:r>
          </w:p>
        </w:tc>
      </w:tr>
      <w:tr w14:paraId="03FE2931">
        <w:trPr>
          <w:trHeight w:val="336" w:hRule="atLeast"/>
        </w:trPr>
        <w:tc>
          <w:tcPr>
            <w:tcW w:w="1485" w:type="pct"/>
            <w:shd w:val="clear"/>
            <w:noWrap/>
            <w:vAlign w:val="bottom"/>
          </w:tcPr>
          <w:p w14:paraId="7192838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Loan Characteristics</w:t>
            </w:r>
          </w:p>
        </w:tc>
        <w:tc>
          <w:tcPr>
            <w:tcW w:w="1340" w:type="pct"/>
            <w:shd w:val="clear"/>
            <w:noWrap/>
            <w:vAlign w:val="bottom"/>
          </w:tcPr>
          <w:p w14:paraId="693B135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LTV</w:t>
            </w:r>
          </w:p>
        </w:tc>
        <w:tc>
          <w:tcPr>
            <w:tcW w:w="2173" w:type="pct"/>
            <w:shd w:val="clear"/>
            <w:noWrap/>
            <w:vAlign w:val="bottom"/>
          </w:tcPr>
          <w:p w14:paraId="34304E0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Loan-to-Value Ratio (LTV)</w:t>
            </w:r>
          </w:p>
        </w:tc>
      </w:tr>
      <w:tr w14:paraId="3534284D">
        <w:trPr>
          <w:trHeight w:val="336" w:hRule="atLeast"/>
        </w:trPr>
        <w:tc>
          <w:tcPr>
            <w:tcW w:w="1485" w:type="pct"/>
            <w:shd w:val="clear"/>
            <w:noWrap/>
            <w:vAlign w:val="bottom"/>
          </w:tcPr>
          <w:p w14:paraId="2467184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Loan Characteristics</w:t>
            </w:r>
          </w:p>
        </w:tc>
        <w:tc>
          <w:tcPr>
            <w:tcW w:w="1340" w:type="pct"/>
            <w:shd w:val="clear"/>
            <w:noWrap/>
            <w:vAlign w:val="bottom"/>
          </w:tcPr>
          <w:p w14:paraId="3BFD4F9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贷款期限</w:t>
            </w:r>
          </w:p>
        </w:tc>
        <w:tc>
          <w:tcPr>
            <w:tcW w:w="2173" w:type="pct"/>
            <w:shd w:val="clear"/>
            <w:noWrap/>
            <w:vAlign w:val="bottom"/>
          </w:tcPr>
          <w:p w14:paraId="16EA73F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Loan Tenor / Loan Maturity</w:t>
            </w:r>
          </w:p>
        </w:tc>
      </w:tr>
      <w:tr w14:paraId="7D04082A">
        <w:trPr>
          <w:trHeight w:val="336" w:hRule="atLeast"/>
        </w:trPr>
        <w:tc>
          <w:tcPr>
            <w:tcW w:w="1485" w:type="pct"/>
            <w:shd w:val="clear"/>
            <w:noWrap/>
            <w:vAlign w:val="bottom"/>
          </w:tcPr>
          <w:p w14:paraId="227275F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Loan Characteristics</w:t>
            </w:r>
          </w:p>
        </w:tc>
        <w:tc>
          <w:tcPr>
            <w:tcW w:w="1340" w:type="pct"/>
            <w:shd w:val="clear"/>
            <w:noWrap/>
            <w:vAlign w:val="bottom"/>
          </w:tcPr>
          <w:p w14:paraId="4B890BC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合同约束条款</w:t>
            </w:r>
          </w:p>
        </w:tc>
        <w:tc>
          <w:tcPr>
            <w:tcW w:w="2173" w:type="pct"/>
            <w:shd w:val="clear"/>
            <w:noWrap/>
            <w:vAlign w:val="bottom"/>
          </w:tcPr>
          <w:p w14:paraId="2582D26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Financial Covenants / Loan Covenants</w:t>
            </w:r>
          </w:p>
        </w:tc>
      </w:tr>
      <w:tr w14:paraId="3D5302E0">
        <w:trPr>
          <w:trHeight w:val="336" w:hRule="atLeast"/>
        </w:trPr>
        <w:tc>
          <w:tcPr>
            <w:tcW w:w="1485" w:type="pct"/>
            <w:shd w:val="clear"/>
            <w:noWrap/>
            <w:vAlign w:val="bottom"/>
          </w:tcPr>
          <w:p w14:paraId="33C644D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Macro &amp; Industry Indicators</w:t>
            </w:r>
          </w:p>
        </w:tc>
        <w:tc>
          <w:tcPr>
            <w:tcW w:w="1340" w:type="pct"/>
            <w:shd w:val="clear"/>
            <w:noWrap/>
            <w:vAlign w:val="bottom"/>
          </w:tcPr>
          <w:p w14:paraId="13BABE8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行业景气度</w:t>
            </w:r>
          </w:p>
        </w:tc>
        <w:tc>
          <w:tcPr>
            <w:tcW w:w="2173" w:type="pct"/>
            <w:shd w:val="clear"/>
            <w:noWrap/>
            <w:vAlign w:val="bottom"/>
          </w:tcPr>
          <w:p w14:paraId="6689A44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Industry Outlook</w:t>
            </w:r>
          </w:p>
        </w:tc>
      </w:tr>
      <w:tr w14:paraId="32FB6CA0">
        <w:trPr>
          <w:trHeight w:val="336" w:hRule="atLeast"/>
        </w:trPr>
        <w:tc>
          <w:tcPr>
            <w:tcW w:w="1485" w:type="pct"/>
            <w:shd w:val="clear"/>
            <w:noWrap/>
            <w:vAlign w:val="bottom"/>
          </w:tcPr>
          <w:p w14:paraId="36CCAB8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Macro &amp; Industry Indicators</w:t>
            </w:r>
          </w:p>
        </w:tc>
        <w:tc>
          <w:tcPr>
            <w:tcW w:w="1340" w:type="pct"/>
            <w:shd w:val="clear"/>
            <w:noWrap/>
            <w:vAlign w:val="bottom"/>
          </w:tcPr>
          <w:p w14:paraId="6C84F06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行业周期</w:t>
            </w:r>
          </w:p>
        </w:tc>
        <w:tc>
          <w:tcPr>
            <w:tcW w:w="2173" w:type="pct"/>
            <w:shd w:val="clear"/>
            <w:noWrap/>
            <w:vAlign w:val="bottom"/>
          </w:tcPr>
          <w:p w14:paraId="1596AD9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Industry Cycle</w:t>
            </w:r>
          </w:p>
        </w:tc>
      </w:tr>
      <w:tr w14:paraId="48B0E077">
        <w:trPr>
          <w:trHeight w:val="336" w:hRule="atLeast"/>
        </w:trPr>
        <w:tc>
          <w:tcPr>
            <w:tcW w:w="1485" w:type="pct"/>
            <w:shd w:val="clear"/>
            <w:noWrap/>
            <w:vAlign w:val="bottom"/>
          </w:tcPr>
          <w:p w14:paraId="45837AC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Macro &amp; Industry Indicators</w:t>
            </w:r>
          </w:p>
        </w:tc>
        <w:tc>
          <w:tcPr>
            <w:tcW w:w="1340" w:type="pct"/>
            <w:shd w:val="clear"/>
            <w:noWrap/>
            <w:vAlign w:val="bottom"/>
          </w:tcPr>
          <w:p w14:paraId="7E6B5A7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行业增长率</w:t>
            </w:r>
          </w:p>
        </w:tc>
        <w:tc>
          <w:tcPr>
            <w:tcW w:w="2173" w:type="pct"/>
            <w:shd w:val="clear"/>
            <w:noWrap/>
            <w:vAlign w:val="bottom"/>
          </w:tcPr>
          <w:p w14:paraId="73A6C3B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Industry Growth Rate</w:t>
            </w:r>
          </w:p>
        </w:tc>
      </w:tr>
      <w:tr w14:paraId="738E2883">
        <w:trPr>
          <w:trHeight w:val="336" w:hRule="atLeast"/>
        </w:trPr>
        <w:tc>
          <w:tcPr>
            <w:tcW w:w="1485" w:type="pct"/>
            <w:shd w:val="clear"/>
            <w:noWrap/>
            <w:vAlign w:val="bottom"/>
          </w:tcPr>
          <w:p w14:paraId="54502DE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Macro &amp; Industry Indicators</w:t>
            </w:r>
          </w:p>
        </w:tc>
        <w:tc>
          <w:tcPr>
            <w:tcW w:w="1340" w:type="pct"/>
            <w:shd w:val="clear"/>
            <w:noWrap/>
            <w:vAlign w:val="bottom"/>
          </w:tcPr>
          <w:p w14:paraId="114A5C7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区域经济指标</w:t>
            </w:r>
          </w:p>
        </w:tc>
        <w:tc>
          <w:tcPr>
            <w:tcW w:w="2173" w:type="pct"/>
            <w:shd w:val="clear"/>
            <w:noWrap/>
            <w:vAlign w:val="bottom"/>
          </w:tcPr>
          <w:p w14:paraId="6043C60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Regional Economic Indicators</w:t>
            </w:r>
          </w:p>
        </w:tc>
      </w:tr>
      <w:tr w14:paraId="55FA9370">
        <w:trPr>
          <w:trHeight w:val="336" w:hRule="atLeast"/>
        </w:trPr>
        <w:tc>
          <w:tcPr>
            <w:tcW w:w="1485" w:type="pct"/>
            <w:shd w:val="clear"/>
            <w:noWrap/>
            <w:vAlign w:val="bottom"/>
          </w:tcPr>
          <w:p w14:paraId="57B86DA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Macro &amp; Industry Indicators</w:t>
            </w:r>
          </w:p>
        </w:tc>
        <w:tc>
          <w:tcPr>
            <w:tcW w:w="1340" w:type="pct"/>
            <w:shd w:val="clear"/>
            <w:noWrap/>
            <w:vAlign w:val="bottom"/>
          </w:tcPr>
          <w:p w14:paraId="6C235B4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GDP增长</w:t>
            </w:r>
          </w:p>
        </w:tc>
        <w:tc>
          <w:tcPr>
            <w:tcW w:w="2173" w:type="pct"/>
            <w:shd w:val="clear"/>
            <w:noWrap/>
            <w:vAlign w:val="bottom"/>
          </w:tcPr>
          <w:p w14:paraId="355AD28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Regional GDP Growth</w:t>
            </w:r>
          </w:p>
        </w:tc>
      </w:tr>
      <w:tr w14:paraId="2CFF2B45">
        <w:trPr>
          <w:trHeight w:val="336" w:hRule="atLeast"/>
        </w:trPr>
        <w:tc>
          <w:tcPr>
            <w:tcW w:w="1485" w:type="pct"/>
            <w:shd w:val="clear"/>
            <w:noWrap/>
            <w:vAlign w:val="bottom"/>
          </w:tcPr>
          <w:p w14:paraId="2BC9864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Macro &amp; Industry Indicators</w:t>
            </w:r>
          </w:p>
        </w:tc>
        <w:tc>
          <w:tcPr>
            <w:tcW w:w="1340" w:type="pct"/>
            <w:shd w:val="clear"/>
            <w:noWrap/>
            <w:vAlign w:val="bottom"/>
          </w:tcPr>
          <w:p w14:paraId="0684497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失业率</w:t>
            </w:r>
          </w:p>
        </w:tc>
        <w:tc>
          <w:tcPr>
            <w:tcW w:w="2173" w:type="pct"/>
            <w:shd w:val="clear"/>
            <w:noWrap/>
            <w:vAlign w:val="bottom"/>
          </w:tcPr>
          <w:p w14:paraId="32A016B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Unemployment Rate</w:t>
            </w:r>
          </w:p>
        </w:tc>
      </w:tr>
      <w:tr w14:paraId="266ED5FE">
        <w:trPr>
          <w:trHeight w:val="336" w:hRule="atLeast"/>
        </w:trPr>
        <w:tc>
          <w:tcPr>
            <w:tcW w:w="1485" w:type="pct"/>
            <w:shd w:val="clear"/>
            <w:noWrap/>
            <w:vAlign w:val="bottom"/>
          </w:tcPr>
          <w:p w14:paraId="6FFB579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Macro &amp; Industry Indicators</w:t>
            </w:r>
          </w:p>
        </w:tc>
        <w:tc>
          <w:tcPr>
            <w:tcW w:w="1340" w:type="pct"/>
            <w:shd w:val="clear"/>
            <w:noWrap/>
            <w:vAlign w:val="bottom"/>
          </w:tcPr>
          <w:p w14:paraId="5263AD2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通货膨胀</w:t>
            </w:r>
          </w:p>
        </w:tc>
        <w:tc>
          <w:tcPr>
            <w:tcW w:w="2173" w:type="pct"/>
            <w:shd w:val="clear"/>
            <w:noWrap/>
            <w:vAlign w:val="bottom"/>
          </w:tcPr>
          <w:p w14:paraId="52F13A9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Inflation Rate (CPI)</w:t>
            </w:r>
          </w:p>
        </w:tc>
      </w:tr>
      <w:tr w14:paraId="3CF3DDEB">
        <w:trPr>
          <w:trHeight w:val="336" w:hRule="atLeast"/>
        </w:trPr>
        <w:tc>
          <w:tcPr>
            <w:tcW w:w="1485" w:type="pct"/>
            <w:shd w:val="clear"/>
            <w:noWrap/>
            <w:vAlign w:val="bottom"/>
          </w:tcPr>
          <w:p w14:paraId="71EC4B2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Macro &amp; Industry Indicators</w:t>
            </w:r>
          </w:p>
        </w:tc>
        <w:tc>
          <w:tcPr>
            <w:tcW w:w="1340" w:type="pct"/>
            <w:shd w:val="clear"/>
            <w:noWrap/>
            <w:vAlign w:val="bottom"/>
          </w:tcPr>
          <w:p w14:paraId="7BFABBC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利率水平</w:t>
            </w:r>
          </w:p>
        </w:tc>
        <w:tc>
          <w:tcPr>
            <w:tcW w:w="2173" w:type="pct"/>
            <w:shd w:val="clear"/>
            <w:noWrap/>
            <w:vAlign w:val="bottom"/>
          </w:tcPr>
          <w:p w14:paraId="6E1ED5F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Interest Rate Environment</w:t>
            </w:r>
          </w:p>
        </w:tc>
      </w:tr>
      <w:tr w14:paraId="65A7DCB9">
        <w:trPr>
          <w:trHeight w:val="336" w:hRule="atLeast"/>
        </w:trPr>
        <w:tc>
          <w:tcPr>
            <w:tcW w:w="1485" w:type="pct"/>
            <w:shd w:val="clear"/>
            <w:noWrap/>
            <w:vAlign w:val="bottom"/>
          </w:tcPr>
          <w:p w14:paraId="0F068C2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Graph-based Relationship Features</w:t>
            </w:r>
          </w:p>
        </w:tc>
        <w:tc>
          <w:tcPr>
            <w:tcW w:w="1340" w:type="pct"/>
            <w:shd w:val="clear"/>
            <w:noWrap/>
            <w:vAlign w:val="bottom"/>
          </w:tcPr>
          <w:p w14:paraId="5D15F57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股东关系</w:t>
            </w:r>
          </w:p>
        </w:tc>
        <w:tc>
          <w:tcPr>
            <w:tcW w:w="2173" w:type="pct"/>
            <w:shd w:val="clear"/>
            <w:noWrap/>
            <w:vAlign w:val="bottom"/>
          </w:tcPr>
          <w:p w14:paraId="25F9D0D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Shareholder Relationships / Ownership Structure</w:t>
            </w:r>
          </w:p>
        </w:tc>
      </w:tr>
      <w:tr w14:paraId="3E7C84B6">
        <w:trPr>
          <w:trHeight w:val="336" w:hRule="atLeast"/>
        </w:trPr>
        <w:tc>
          <w:tcPr>
            <w:tcW w:w="1485" w:type="pct"/>
            <w:shd w:val="clear"/>
            <w:noWrap/>
            <w:vAlign w:val="bottom"/>
          </w:tcPr>
          <w:p w14:paraId="7B1FDFA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Graph-based Relationship Features</w:t>
            </w:r>
          </w:p>
        </w:tc>
        <w:tc>
          <w:tcPr>
            <w:tcW w:w="1340" w:type="pct"/>
            <w:shd w:val="clear"/>
            <w:noWrap/>
            <w:vAlign w:val="bottom"/>
          </w:tcPr>
          <w:p w14:paraId="77F6F05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母子公司关系</w:t>
            </w:r>
          </w:p>
        </w:tc>
        <w:tc>
          <w:tcPr>
            <w:tcW w:w="2173" w:type="pct"/>
            <w:shd w:val="clear"/>
            <w:noWrap/>
            <w:vAlign w:val="bottom"/>
          </w:tcPr>
          <w:p w14:paraId="472BB23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Corporate Ownership Network</w:t>
            </w:r>
          </w:p>
        </w:tc>
      </w:tr>
      <w:tr w14:paraId="1D2EFC03">
        <w:trPr>
          <w:trHeight w:val="336" w:hRule="atLeast"/>
        </w:trPr>
        <w:tc>
          <w:tcPr>
            <w:tcW w:w="1485" w:type="pct"/>
            <w:shd w:val="clear"/>
            <w:noWrap/>
            <w:vAlign w:val="bottom"/>
          </w:tcPr>
          <w:p w14:paraId="6CDE487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Graph-based Relationship Features</w:t>
            </w:r>
          </w:p>
        </w:tc>
        <w:tc>
          <w:tcPr>
            <w:tcW w:w="1340" w:type="pct"/>
            <w:shd w:val="clear"/>
            <w:noWrap/>
            <w:vAlign w:val="bottom"/>
          </w:tcPr>
          <w:p w14:paraId="36D4B9E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上下游供应商</w:t>
            </w:r>
          </w:p>
        </w:tc>
        <w:tc>
          <w:tcPr>
            <w:tcW w:w="2173" w:type="pct"/>
            <w:shd w:val="clear"/>
            <w:noWrap/>
            <w:vAlign w:val="bottom"/>
          </w:tcPr>
          <w:p w14:paraId="33C1F9B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Supplier-Customer Network / Supply Chain Relationships</w:t>
            </w:r>
          </w:p>
        </w:tc>
      </w:tr>
      <w:tr w14:paraId="5AA28256">
        <w:trPr>
          <w:trHeight w:val="336" w:hRule="atLeast"/>
        </w:trPr>
        <w:tc>
          <w:tcPr>
            <w:tcW w:w="1485" w:type="pct"/>
            <w:shd w:val="clear"/>
            <w:noWrap/>
            <w:vAlign w:val="bottom"/>
          </w:tcPr>
          <w:p w14:paraId="1F42641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Graph-based Relationship Features</w:t>
            </w:r>
          </w:p>
        </w:tc>
        <w:tc>
          <w:tcPr>
            <w:tcW w:w="1340" w:type="pct"/>
            <w:shd w:val="clear"/>
            <w:noWrap/>
            <w:vAlign w:val="bottom"/>
          </w:tcPr>
          <w:p w14:paraId="4932FE7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关联担保</w:t>
            </w:r>
          </w:p>
        </w:tc>
        <w:tc>
          <w:tcPr>
            <w:tcW w:w="2173" w:type="pct"/>
            <w:shd w:val="clear"/>
            <w:noWrap/>
            <w:vAlign w:val="bottom"/>
          </w:tcPr>
          <w:p w14:paraId="07A339F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Cross Guarantees / Related-party Guarantees</w:t>
            </w:r>
          </w:p>
        </w:tc>
      </w:tr>
      <w:tr w14:paraId="63B06057">
        <w:trPr>
          <w:trHeight w:val="336" w:hRule="atLeast"/>
        </w:trPr>
        <w:tc>
          <w:tcPr>
            <w:tcW w:w="1485" w:type="pct"/>
            <w:shd w:val="clear"/>
            <w:noWrap/>
            <w:vAlign w:val="bottom"/>
          </w:tcPr>
          <w:p w14:paraId="108390F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Graph-based Relationship Features</w:t>
            </w:r>
          </w:p>
        </w:tc>
        <w:tc>
          <w:tcPr>
            <w:tcW w:w="1340" w:type="pct"/>
            <w:shd w:val="clear"/>
            <w:noWrap/>
            <w:vAlign w:val="bottom"/>
          </w:tcPr>
          <w:p w14:paraId="2EA99BE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企业关联网络</w:t>
            </w:r>
          </w:p>
        </w:tc>
        <w:tc>
          <w:tcPr>
            <w:tcW w:w="2173" w:type="pct"/>
            <w:shd w:val="clear"/>
            <w:noWrap/>
            <w:vAlign w:val="bottom"/>
          </w:tcPr>
          <w:p w14:paraId="118C83B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Corporate Relationship Network</w:t>
            </w:r>
          </w:p>
        </w:tc>
      </w:tr>
      <w:tr w14:paraId="1702B567">
        <w:trPr>
          <w:trHeight w:val="336" w:hRule="atLeast"/>
        </w:trPr>
        <w:tc>
          <w:tcPr>
            <w:tcW w:w="1485" w:type="pct"/>
            <w:shd w:val="clear"/>
            <w:noWrap/>
            <w:vAlign w:val="bottom"/>
          </w:tcPr>
          <w:p w14:paraId="7B5F8C2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Graph-based Relationship Features</w:t>
            </w:r>
          </w:p>
        </w:tc>
        <w:tc>
          <w:tcPr>
            <w:tcW w:w="1340" w:type="pct"/>
            <w:shd w:val="clear"/>
            <w:noWrap/>
            <w:vAlign w:val="bottom"/>
          </w:tcPr>
          <w:p w14:paraId="3DCDB8F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关联交易</w:t>
            </w:r>
          </w:p>
        </w:tc>
        <w:tc>
          <w:tcPr>
            <w:tcW w:w="2173" w:type="pct"/>
            <w:shd w:val="clear"/>
            <w:noWrap/>
            <w:vAlign w:val="bottom"/>
          </w:tcPr>
          <w:p w14:paraId="3210045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Related-party Transactions</w:t>
            </w:r>
          </w:p>
        </w:tc>
      </w:tr>
      <w:tr w14:paraId="3E53B6CD">
        <w:trPr>
          <w:trHeight w:val="336" w:hRule="atLeast"/>
        </w:trPr>
        <w:tc>
          <w:tcPr>
            <w:tcW w:w="1485" w:type="pct"/>
            <w:shd w:val="clear"/>
            <w:noWrap/>
            <w:vAlign w:val="bottom"/>
          </w:tcPr>
          <w:p w14:paraId="12874CC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Graph-based Relationship Features</w:t>
            </w:r>
          </w:p>
        </w:tc>
        <w:tc>
          <w:tcPr>
            <w:tcW w:w="1340" w:type="pct"/>
            <w:shd w:val="clear"/>
            <w:noWrap/>
            <w:vAlign w:val="bottom"/>
          </w:tcPr>
          <w:p w14:paraId="4F88348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最终受益人</w:t>
            </w:r>
          </w:p>
        </w:tc>
        <w:tc>
          <w:tcPr>
            <w:tcW w:w="2173" w:type="pct"/>
            <w:shd w:val="clear"/>
            <w:noWrap/>
            <w:vAlign w:val="bottom"/>
          </w:tcPr>
          <w:p w14:paraId="7F0F6AA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Ultimate Beneficial Owner (UBO)</w:t>
            </w:r>
          </w:p>
        </w:tc>
      </w:tr>
      <w:tr w14:paraId="10D6F8DD">
        <w:trPr>
          <w:trHeight w:val="336" w:hRule="atLeast"/>
        </w:trPr>
        <w:tc>
          <w:tcPr>
            <w:tcW w:w="1485" w:type="pct"/>
            <w:shd w:val="clear"/>
            <w:noWrap/>
            <w:vAlign w:val="bottom"/>
          </w:tcPr>
          <w:p w14:paraId="41379D1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Graph-based Relationship Features</w:t>
            </w:r>
          </w:p>
        </w:tc>
        <w:tc>
          <w:tcPr>
            <w:tcW w:w="1340" w:type="pct"/>
            <w:shd w:val="clear"/>
            <w:noWrap/>
            <w:vAlign w:val="bottom"/>
          </w:tcPr>
          <w:p w14:paraId="5510725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董事交叉任职</w:t>
            </w:r>
          </w:p>
        </w:tc>
        <w:tc>
          <w:tcPr>
            <w:tcW w:w="2173" w:type="pct"/>
            <w:shd w:val="clear"/>
            <w:noWrap/>
            <w:vAlign w:val="bottom"/>
          </w:tcPr>
          <w:p w14:paraId="03E279D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Interlocking Directorates</w:t>
            </w:r>
          </w:p>
        </w:tc>
      </w:tr>
    </w:tbl>
    <w:p w14:paraId="69C49D76">
      <w:pPr>
        <w:pStyle w:val="3"/>
        <w:numPr>
          <w:numId w:val="0"/>
        </w:numPr>
        <w:ind w:left="360" w:leftChars="0"/>
        <w:rPr>
          <w:b/>
          <w:bCs/>
        </w:rPr>
      </w:pPr>
    </w:p>
    <w:p w14:paraId="26E41D02">
      <w:pPr>
        <w:rPr>
          <w:b/>
          <w:bCs/>
        </w:rPr>
      </w:pPr>
      <w:r>
        <w:rPr>
          <w:rFonts w:hint="default"/>
          <w:b/>
          <w:bCs/>
        </w:rPr>
        <w:t>Common AI Credit Risk / GNN Indicators</w:t>
      </w:r>
    </w:p>
    <w:tbl>
      <w:tblPr>
        <w:tblW w:w="9980" w:type="dxa"/>
        <w:tblInd w:w="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8"/>
        <w:gridCol w:w="4736"/>
      </w:tblGrid>
      <w:tr w14:paraId="3F3A2ED7">
        <w:trPr>
          <w:trHeight w:val="336" w:hRule="atLeast"/>
        </w:trPr>
        <w:tc>
          <w:tcPr>
            <w:tcW w:w="5248" w:type="dxa"/>
            <w:shd w:val="clear"/>
            <w:noWrap/>
            <w:vAlign w:val="bottom"/>
          </w:tcPr>
          <w:p w14:paraId="0BA8199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Category</w:t>
            </w:r>
          </w:p>
        </w:tc>
        <w:tc>
          <w:tcPr>
            <w:tcW w:w="4736" w:type="dxa"/>
            <w:shd w:val="clear"/>
            <w:noWrap/>
            <w:vAlign w:val="bottom"/>
          </w:tcPr>
          <w:p w14:paraId="267C350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Indicator</w:t>
            </w:r>
          </w:p>
        </w:tc>
      </w:tr>
      <w:tr w14:paraId="032B3EED">
        <w:trPr>
          <w:trHeight w:val="336" w:hRule="atLeast"/>
        </w:trPr>
        <w:tc>
          <w:tcPr>
            <w:tcW w:w="0" w:type="auto"/>
            <w:shd w:val="clear"/>
            <w:noWrap/>
            <w:vAlign w:val="bottom"/>
          </w:tcPr>
          <w:p w14:paraId="24F18EF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Financial Indicators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6957A6B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Debt Service Coverage Ratio (DSCR)</w:t>
            </w:r>
          </w:p>
        </w:tc>
      </w:tr>
      <w:tr w14:paraId="153FF5B2">
        <w:trPr>
          <w:trHeight w:val="336" w:hRule="atLeast"/>
        </w:trPr>
        <w:tc>
          <w:tcPr>
            <w:tcW w:w="0" w:type="auto"/>
            <w:shd w:val="clear"/>
            <w:noWrap/>
            <w:vAlign w:val="bottom"/>
          </w:tcPr>
          <w:p w14:paraId="377FB59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Financial Indicators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27DF934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Leverage Ratio</w:t>
            </w:r>
          </w:p>
        </w:tc>
      </w:tr>
      <w:tr w14:paraId="04AC5ACE">
        <w:trPr>
          <w:trHeight w:val="336" w:hRule="atLeast"/>
        </w:trPr>
        <w:tc>
          <w:tcPr>
            <w:tcW w:w="0" w:type="auto"/>
            <w:shd w:val="clear"/>
            <w:noWrap/>
            <w:vAlign w:val="bottom"/>
          </w:tcPr>
          <w:p w14:paraId="0BA5FDC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Financial Indicators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004D83E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Revenue Growth</w:t>
            </w:r>
          </w:p>
        </w:tc>
      </w:tr>
      <w:tr w14:paraId="60F7803A">
        <w:trPr>
          <w:trHeight w:val="336" w:hRule="atLeast"/>
        </w:trPr>
        <w:tc>
          <w:tcPr>
            <w:tcW w:w="0" w:type="auto"/>
            <w:shd w:val="clear"/>
            <w:noWrap/>
            <w:vAlign w:val="bottom"/>
          </w:tcPr>
          <w:p w14:paraId="471A21A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Financial Indicators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0CF1A29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EBITDA Margin</w:t>
            </w:r>
          </w:p>
        </w:tc>
      </w:tr>
      <w:tr w14:paraId="4B154DB2">
        <w:trPr>
          <w:trHeight w:val="336" w:hRule="atLeast"/>
        </w:trPr>
        <w:tc>
          <w:tcPr>
            <w:tcW w:w="0" w:type="auto"/>
            <w:shd w:val="clear"/>
            <w:noWrap/>
            <w:vAlign w:val="bottom"/>
          </w:tcPr>
          <w:p w14:paraId="5B40FEB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Financial Indicators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4780E5F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Interest Coverage Ratio</w:t>
            </w:r>
          </w:p>
        </w:tc>
      </w:tr>
      <w:tr w14:paraId="6976C725">
        <w:trPr>
          <w:trHeight w:val="336" w:hRule="atLeast"/>
        </w:trPr>
        <w:tc>
          <w:tcPr>
            <w:tcW w:w="0" w:type="auto"/>
            <w:shd w:val="clear"/>
            <w:noWrap/>
            <w:vAlign w:val="bottom"/>
          </w:tcPr>
          <w:p w14:paraId="2DC6E3D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Financial Indicators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4A15749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Current Ratio</w:t>
            </w:r>
          </w:p>
        </w:tc>
      </w:tr>
      <w:tr w14:paraId="0335B110">
        <w:trPr>
          <w:trHeight w:val="336" w:hRule="atLeast"/>
        </w:trPr>
        <w:tc>
          <w:tcPr>
            <w:tcW w:w="0" w:type="auto"/>
            <w:shd w:val="clear"/>
            <w:noWrap/>
            <w:vAlign w:val="bottom"/>
          </w:tcPr>
          <w:p w14:paraId="02197ED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Financial Indicators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3EB86BA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Return on Assets (ROA)</w:t>
            </w:r>
          </w:p>
        </w:tc>
      </w:tr>
      <w:tr w14:paraId="252ADA0B">
        <w:trPr>
          <w:trHeight w:val="336" w:hRule="atLeast"/>
        </w:trPr>
        <w:tc>
          <w:tcPr>
            <w:tcW w:w="0" w:type="auto"/>
            <w:shd w:val="clear"/>
            <w:noWrap/>
            <w:vAlign w:val="bottom"/>
          </w:tcPr>
          <w:p w14:paraId="619E2CB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Financial Indicators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3A3AA59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Return on Equity (ROE)</w:t>
            </w:r>
          </w:p>
        </w:tc>
      </w:tr>
      <w:tr w14:paraId="35823269">
        <w:trPr>
          <w:trHeight w:val="336" w:hRule="atLeast"/>
        </w:trPr>
        <w:tc>
          <w:tcPr>
            <w:tcW w:w="0" w:type="auto"/>
            <w:shd w:val="clear"/>
            <w:noWrap/>
            <w:vAlign w:val="bottom"/>
          </w:tcPr>
          <w:p w14:paraId="1F5C77D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Loan Characteristics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6CD0F29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Loan-to-Value Ratio (LTV)</w:t>
            </w:r>
          </w:p>
        </w:tc>
      </w:tr>
      <w:tr w14:paraId="779ADF8F">
        <w:trPr>
          <w:trHeight w:val="336" w:hRule="atLeast"/>
        </w:trPr>
        <w:tc>
          <w:tcPr>
            <w:tcW w:w="0" w:type="auto"/>
            <w:shd w:val="clear"/>
            <w:noWrap/>
            <w:vAlign w:val="bottom"/>
          </w:tcPr>
          <w:p w14:paraId="7202F9C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Loan Characteristics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113495E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Collateral Type</w:t>
            </w:r>
          </w:p>
        </w:tc>
      </w:tr>
      <w:tr w14:paraId="4C1DA8D2">
        <w:trPr>
          <w:trHeight w:val="336" w:hRule="atLeast"/>
        </w:trPr>
        <w:tc>
          <w:tcPr>
            <w:tcW w:w="0" w:type="auto"/>
            <w:shd w:val="clear"/>
            <w:noWrap/>
            <w:vAlign w:val="bottom"/>
          </w:tcPr>
          <w:p w14:paraId="0467D7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Loan Characteristics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2E2F6E4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Collateral Value</w:t>
            </w:r>
          </w:p>
        </w:tc>
      </w:tr>
      <w:tr w14:paraId="327E922F">
        <w:trPr>
          <w:trHeight w:val="336" w:hRule="atLeast"/>
        </w:trPr>
        <w:tc>
          <w:tcPr>
            <w:tcW w:w="0" w:type="auto"/>
            <w:shd w:val="clear"/>
            <w:noWrap/>
            <w:vAlign w:val="bottom"/>
          </w:tcPr>
          <w:p w14:paraId="1EFC6BE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Loan Characteristics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4FE3BA3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Loan Tenor</w:t>
            </w:r>
          </w:p>
        </w:tc>
      </w:tr>
      <w:tr w14:paraId="5B358D1D">
        <w:trPr>
          <w:trHeight w:val="336" w:hRule="atLeast"/>
        </w:trPr>
        <w:tc>
          <w:tcPr>
            <w:tcW w:w="0" w:type="auto"/>
            <w:shd w:val="clear"/>
            <w:noWrap/>
            <w:vAlign w:val="bottom"/>
          </w:tcPr>
          <w:p w14:paraId="4AF8705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Loan Characteristics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03B02E6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Covenant Strength</w:t>
            </w:r>
          </w:p>
        </w:tc>
      </w:tr>
      <w:tr w14:paraId="14989619">
        <w:trPr>
          <w:trHeight w:val="336" w:hRule="atLeast"/>
        </w:trPr>
        <w:tc>
          <w:tcPr>
            <w:tcW w:w="0" w:type="auto"/>
            <w:shd w:val="clear"/>
            <w:noWrap/>
            <w:vAlign w:val="bottom"/>
          </w:tcPr>
          <w:p w14:paraId="4252FA9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Loan Characteristics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128FF77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Loan Size</w:t>
            </w:r>
          </w:p>
        </w:tc>
      </w:tr>
      <w:tr w14:paraId="10A43CAD">
        <w:trPr>
          <w:trHeight w:val="336" w:hRule="atLeast"/>
        </w:trPr>
        <w:tc>
          <w:tcPr>
            <w:tcW w:w="0" w:type="auto"/>
            <w:shd w:val="clear"/>
            <w:noWrap/>
            <w:vAlign w:val="bottom"/>
          </w:tcPr>
          <w:p w14:paraId="09B7352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Loan Characteristics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475D839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Interest Rate</w:t>
            </w:r>
          </w:p>
        </w:tc>
      </w:tr>
      <w:tr w14:paraId="08B7BA37">
        <w:trPr>
          <w:trHeight w:val="336" w:hRule="atLeast"/>
        </w:trPr>
        <w:tc>
          <w:tcPr>
            <w:tcW w:w="0" w:type="auto"/>
            <w:shd w:val="clear"/>
            <w:noWrap/>
            <w:vAlign w:val="bottom"/>
          </w:tcPr>
          <w:p w14:paraId="20A7F96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Loan Characteristics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7862129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Seniority</w:t>
            </w:r>
          </w:p>
        </w:tc>
      </w:tr>
      <w:tr w14:paraId="20C5E439">
        <w:trPr>
          <w:trHeight w:val="336" w:hRule="atLeast"/>
        </w:trPr>
        <w:tc>
          <w:tcPr>
            <w:tcW w:w="0" w:type="auto"/>
            <w:shd w:val="clear"/>
            <w:noWrap/>
            <w:vAlign w:val="bottom"/>
          </w:tcPr>
          <w:p w14:paraId="7D22C19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Macro &amp; Industry Indicators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036C857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Industry Outlook</w:t>
            </w:r>
          </w:p>
        </w:tc>
      </w:tr>
      <w:tr w14:paraId="316EE730">
        <w:trPr>
          <w:trHeight w:val="336" w:hRule="atLeast"/>
        </w:trPr>
        <w:tc>
          <w:tcPr>
            <w:tcW w:w="0" w:type="auto"/>
            <w:shd w:val="clear"/>
            <w:noWrap/>
            <w:vAlign w:val="bottom"/>
          </w:tcPr>
          <w:p w14:paraId="5FD2539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Macro &amp; Industry Indicators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680FEED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Industry Growth Rate</w:t>
            </w:r>
          </w:p>
        </w:tc>
      </w:tr>
      <w:tr w14:paraId="07AECAA7">
        <w:trPr>
          <w:trHeight w:val="336" w:hRule="atLeast"/>
        </w:trPr>
        <w:tc>
          <w:tcPr>
            <w:tcW w:w="0" w:type="auto"/>
            <w:shd w:val="clear"/>
            <w:noWrap/>
            <w:vAlign w:val="bottom"/>
          </w:tcPr>
          <w:p w14:paraId="7A5978B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Macro &amp; Industry Indicators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77BA6D4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Regional Economic Indicators</w:t>
            </w:r>
          </w:p>
        </w:tc>
      </w:tr>
      <w:tr w14:paraId="4B8A4C07">
        <w:trPr>
          <w:trHeight w:val="336" w:hRule="atLeast"/>
        </w:trPr>
        <w:tc>
          <w:tcPr>
            <w:tcW w:w="0" w:type="auto"/>
            <w:shd w:val="clear"/>
            <w:noWrap/>
            <w:vAlign w:val="bottom"/>
          </w:tcPr>
          <w:p w14:paraId="2271558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Macro &amp; Industry Indicators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60B7D4F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GDP Growth</w:t>
            </w:r>
          </w:p>
        </w:tc>
      </w:tr>
      <w:tr w14:paraId="17546DB4">
        <w:trPr>
          <w:trHeight w:val="336" w:hRule="atLeast"/>
        </w:trPr>
        <w:tc>
          <w:tcPr>
            <w:tcW w:w="0" w:type="auto"/>
            <w:shd w:val="clear"/>
            <w:noWrap/>
            <w:vAlign w:val="bottom"/>
          </w:tcPr>
          <w:p w14:paraId="769AB7E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Macro &amp; Industry Indicators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3BBE49A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Inflation Rate</w:t>
            </w:r>
          </w:p>
        </w:tc>
      </w:tr>
      <w:tr w14:paraId="63886CE3">
        <w:trPr>
          <w:trHeight w:val="336" w:hRule="atLeast"/>
        </w:trPr>
        <w:tc>
          <w:tcPr>
            <w:tcW w:w="0" w:type="auto"/>
            <w:shd w:val="clear"/>
            <w:noWrap/>
            <w:vAlign w:val="bottom"/>
          </w:tcPr>
          <w:p w14:paraId="540E1F4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Macro &amp; Industry Indicators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7F5155E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Unemployment Rate</w:t>
            </w:r>
          </w:p>
        </w:tc>
      </w:tr>
      <w:tr w14:paraId="56422E13">
        <w:trPr>
          <w:trHeight w:val="336" w:hRule="atLeast"/>
        </w:trPr>
        <w:tc>
          <w:tcPr>
            <w:tcW w:w="0" w:type="auto"/>
            <w:shd w:val="clear"/>
            <w:noWrap/>
            <w:vAlign w:val="bottom"/>
          </w:tcPr>
          <w:p w14:paraId="7A9FD72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Macro &amp; Industry Indicators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0B01B8F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Policy Interest Rate</w:t>
            </w:r>
          </w:p>
        </w:tc>
      </w:tr>
      <w:tr w14:paraId="1EA92BBC">
        <w:trPr>
          <w:trHeight w:val="336" w:hRule="atLeast"/>
        </w:trPr>
        <w:tc>
          <w:tcPr>
            <w:tcW w:w="0" w:type="auto"/>
            <w:shd w:val="clear"/>
            <w:noWrap/>
            <w:vAlign w:val="bottom"/>
          </w:tcPr>
          <w:p w14:paraId="08D7F32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Graph-based Relationship Features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0C02BEB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Ownership Structure</w:t>
            </w:r>
          </w:p>
        </w:tc>
      </w:tr>
      <w:tr w14:paraId="10ECCA80">
        <w:trPr>
          <w:trHeight w:val="336" w:hRule="atLeast"/>
        </w:trPr>
        <w:tc>
          <w:tcPr>
            <w:tcW w:w="0" w:type="auto"/>
            <w:shd w:val="clear"/>
            <w:noWrap/>
            <w:vAlign w:val="bottom"/>
          </w:tcPr>
          <w:p w14:paraId="198F909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Graph-based Relationship Features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007B227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Shareholder Relationships</w:t>
            </w:r>
          </w:p>
        </w:tc>
      </w:tr>
      <w:tr w14:paraId="34E67930">
        <w:trPr>
          <w:trHeight w:val="336" w:hRule="atLeast"/>
        </w:trPr>
        <w:tc>
          <w:tcPr>
            <w:tcW w:w="0" w:type="auto"/>
            <w:shd w:val="clear"/>
            <w:noWrap/>
            <w:vAlign w:val="bottom"/>
          </w:tcPr>
          <w:p w14:paraId="3574C9E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Graph-based Relationship Features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43D7DC7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Supplier-Customer Network</w:t>
            </w:r>
          </w:p>
        </w:tc>
      </w:tr>
      <w:tr w14:paraId="71BEF67D">
        <w:trPr>
          <w:trHeight w:val="336" w:hRule="atLeast"/>
        </w:trPr>
        <w:tc>
          <w:tcPr>
            <w:tcW w:w="0" w:type="auto"/>
            <w:shd w:val="clear"/>
            <w:noWrap/>
            <w:vAlign w:val="bottom"/>
          </w:tcPr>
          <w:p w14:paraId="7239EC3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Graph-based Relationship Features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04E4FAF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Related-party Guarantees</w:t>
            </w:r>
          </w:p>
        </w:tc>
      </w:tr>
      <w:tr w14:paraId="6581891A">
        <w:trPr>
          <w:trHeight w:val="336" w:hRule="atLeast"/>
        </w:trPr>
        <w:tc>
          <w:tcPr>
            <w:tcW w:w="0" w:type="auto"/>
            <w:shd w:val="clear"/>
            <w:noWrap/>
            <w:vAlign w:val="bottom"/>
          </w:tcPr>
          <w:p w14:paraId="29EB467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Graph-based Relationship Features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7300923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Related-party Transactions</w:t>
            </w:r>
          </w:p>
        </w:tc>
      </w:tr>
      <w:tr w14:paraId="293B1280">
        <w:trPr>
          <w:trHeight w:val="336" w:hRule="atLeast"/>
        </w:trPr>
        <w:tc>
          <w:tcPr>
            <w:tcW w:w="0" w:type="auto"/>
            <w:shd w:val="clear"/>
            <w:noWrap/>
            <w:vAlign w:val="bottom"/>
          </w:tcPr>
          <w:p w14:paraId="434E4FA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Graph-based Relationship Features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2AE14A2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Corporate Network Centrality</w:t>
            </w:r>
          </w:p>
        </w:tc>
      </w:tr>
      <w:tr w14:paraId="0A82F042">
        <w:trPr>
          <w:trHeight w:val="336" w:hRule="atLeast"/>
        </w:trPr>
        <w:tc>
          <w:tcPr>
            <w:tcW w:w="0" w:type="auto"/>
            <w:shd w:val="clear"/>
            <w:noWrap/>
            <w:vAlign w:val="bottom"/>
          </w:tcPr>
          <w:p w14:paraId="5DED692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Graph-based Relationship Features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1566CEE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Ultimate Beneficial Owner (UBO)</w:t>
            </w:r>
          </w:p>
        </w:tc>
      </w:tr>
      <w:tr w14:paraId="39258881">
        <w:trPr>
          <w:trHeight w:val="336" w:hRule="atLeast"/>
        </w:trPr>
        <w:tc>
          <w:tcPr>
            <w:tcW w:w="0" w:type="auto"/>
            <w:shd w:val="clear"/>
            <w:noWrap/>
            <w:vAlign w:val="bottom"/>
          </w:tcPr>
          <w:p w14:paraId="548E8AE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Graph-based Relationship Features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44B07A2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Interlocking Directorates</w:t>
            </w:r>
          </w:p>
        </w:tc>
      </w:tr>
    </w:tbl>
    <w:p w14:paraId="73E1B0A2">
      <w:pPr>
        <w:rPr>
          <w:b/>
          <w:bCs/>
        </w:rPr>
      </w:pPr>
    </w:p>
    <w:p w14:paraId="3193FE5B">
      <w:pPr>
        <w:rPr>
          <w:b/>
          <w:bCs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ngXian">
    <w:altName w:val="苹方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AF6D19"/>
    <w:multiLevelType w:val="multilevel"/>
    <w:tmpl w:val="04AF6D19"/>
    <w:lvl w:ilvl="0" w:tentative="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eastAsiaTheme="majorEastAsia" w:cstheme="majorBidi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B81"/>
    <w:rsid w:val="002E237A"/>
    <w:rsid w:val="002F5AEF"/>
    <w:rsid w:val="00511B81"/>
    <w:rsid w:val="008C0099"/>
    <w:rsid w:val="00A07FD5"/>
    <w:rsid w:val="00C048C7"/>
    <w:rsid w:val="00CE69A5"/>
    <w:rsid w:val="73DFD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List Bullet"/>
    <w:basedOn w:val="1"/>
    <w:semiHidden/>
    <w:unhideWhenUsed/>
    <w:uiPriority w:val="99"/>
    <w:pPr>
      <w:tabs>
        <w:tab w:val="left" w:pos="420"/>
      </w:tabs>
      <w:spacing w:before="100" w:beforeAutospacing="1" w:after="200" w:line="273" w:lineRule="auto"/>
      <w:contextualSpacing/>
    </w:pPr>
    <w:rPr>
      <w:rFonts w:ascii="Aptos" w:hAnsi="Aptos" w:eastAsia="DengXian" w:cs="Times New Roman"/>
      <w:kern w:val="0"/>
      <w:sz w:val="22"/>
      <w:szCs w:val="22"/>
      <w14:ligatures w14:val="none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45</Words>
  <Characters>259</Characters>
  <Lines>2</Lines>
  <Paragraphs>1</Paragraphs>
  <TotalTime>6</TotalTime>
  <ScaleCrop>false</ScaleCrop>
  <LinksUpToDate>false</LinksUpToDate>
  <CharactersWithSpaces>303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2026-03-15T10:58:00Z</dcterms:created>
  <dc:creator>Evelyn Du</dc:creator>
  <cp:lastModifiedBy>WPS_1748445217</cp:lastModifiedBy>
  <dcterms:modified xsi:type="dcterms:W3CDTF">2026-06-29T21:18:20Z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8211947B7EC62D675C19436A7F6434B1_42</vt:lpwstr>
  </property>
</Properties>
</file>