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6F05D">
      <w:pPr>
        <w:numPr>
          <w:ilvl w:val="0"/>
          <w:numId w:val="0"/>
        </w:numPr>
        <w:rPr>
          <w:rFonts w:hint="default" w:ascii="Times New Roman Regular" w:hAnsi="Times New Roman Regular" w:cs="Times New Roman Regular"/>
          <w:b w:val="0"/>
          <w:lang w:val="en-US"/>
        </w:rPr>
      </w:pPr>
    </w:p>
    <w:p w14:paraId="271C50BD">
      <w:pPr>
        <w:pStyle w:val="2"/>
        <w:bidi w:val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CFA 1000 Questions</w:t>
      </w:r>
    </w:p>
    <w:p w14:paraId="1472286B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Fixed Income</w:t>
      </w:r>
    </w:p>
    <w:p w14:paraId="0C4AD792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eastAsia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1</w:t>
      </w:r>
    </w:p>
    <w:p w14:paraId="74C7459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step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-up note: interest rate increases</w:t>
      </w:r>
    </w:p>
    <w:p w14:paraId="2BB1AAD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sinking fund provision(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条款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): retire a specific 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 w:eastAsia="zh-CN"/>
        </w:rPr>
        <w:t>principle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of bond by year</w:t>
      </w:r>
    </w:p>
    <w:p w14:paraId="302A1778">
      <w:pPr>
        <w:rPr>
          <w:rFonts w:hint="default"/>
          <w:lang w:val="en-US"/>
        </w:rPr>
      </w:pPr>
    </w:p>
    <w:p w14:paraId="4CC23E63">
      <w:pPr>
        <w:rPr>
          <w:rFonts w:hint="default"/>
          <w:lang w:val="en-US"/>
        </w:rPr>
      </w:pPr>
    </w:p>
    <w:p w14:paraId="5510670B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2</w:t>
      </w:r>
    </w:p>
    <w:p w14:paraId="1DB6CF9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(1+x%)</w:t>
      </w:r>
      <w:r>
        <w:rPr>
          <w:rFonts w:hint="default" w:ascii="Times New Roman" w:hAnsi="Times New Roman" w:cs="Times New Roman"/>
          <w:b w:val="0"/>
          <w:bCs w:val="0"/>
          <w:vertAlign w:val="superscript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=(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1+8/2%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)</w:t>
      </w:r>
      <w:r>
        <w:rPr>
          <w:rFonts w:hint="default" w:ascii="Times New Roman" w:hAnsi="Times New Roman" w:cs="Times New Roman"/>
          <w:b w:val="0"/>
          <w:bCs w:val="0"/>
          <w:vertAlign w:val="superscript"/>
          <w:lang w:val="en-US" w:eastAsia="zh-CN"/>
        </w:rPr>
        <w:t>2</w:t>
      </w:r>
    </w:p>
    <w:p w14:paraId="443C393A">
      <w:pPr>
        <w:rPr>
          <w:rFonts w:hint="default"/>
          <w:lang w:val="en-US"/>
        </w:rPr>
      </w:pPr>
    </w:p>
    <w:p w14:paraId="7894D288">
      <w:pPr>
        <w:rPr>
          <w:rFonts w:hint="default"/>
          <w:lang w:val="en-US"/>
        </w:rPr>
      </w:pPr>
    </w:p>
    <w:p w14:paraId="0D148A83">
      <w:pPr>
        <w:rPr>
          <w:rFonts w:hint="default"/>
          <w:lang w:val="en-US"/>
        </w:rPr>
      </w:pPr>
    </w:p>
    <w:p w14:paraId="1588CE40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color w:val="0000FF"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color w:val="0000FF"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color w:val="0000FF"/>
          <w:sz w:val="28"/>
          <w:szCs w:val="28"/>
          <w:lang w:val="en-US" w:eastAsia="zh-CN" w:bidi="ar-SA"/>
        </w:rPr>
        <w:t>3</w:t>
      </w:r>
    </w:p>
    <w:p w14:paraId="5DE76C5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Yield Curve: X:Time-to-maturity;Y: interest rate</w:t>
      </w:r>
    </w:p>
    <w:p w14:paraId="6015803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commentReference w:id="0"/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Duration: </w:t>
      </w:r>
    </w:p>
    <w:p w14:paraId="150CA8F7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X: interest rate; Y: bond price</w:t>
      </w:r>
    </w:p>
    <w:p w14:paraId="6F10605C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Types(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单一点变化）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:</w:t>
      </w:r>
    </w:p>
    <w:p w14:paraId="5849070C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key rate duration: 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 w:eastAsia="zh-CN"/>
        </w:rPr>
        <w:t>shape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of the benchmark yield curve</w:t>
      </w:r>
    </w:p>
    <w:p w14:paraId="38994BBA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modified duration: 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 w:eastAsia="zh-CN"/>
        </w:rPr>
        <w:t>level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of yield-to-maturity</w:t>
      </w:r>
    </w:p>
    <w:p w14:paraId="05EE427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u w:val="single"/>
          <w:lang w:val="en-US" w:eastAsia="zh-CN"/>
        </w:rPr>
        <w:t>Slop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 w:eastAsia="zh-CN"/>
        </w:rPr>
        <w:t>e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of yield-to-worst curve</w:t>
      </w:r>
    </w:p>
    <w:p w14:paraId="45E9D4DD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两端差异</w:t>
      </w:r>
    </w:p>
    <w:p w14:paraId="71739271">
      <w:pPr>
        <w:rPr>
          <w:rFonts w:hint="default"/>
          <w:lang w:val="en-US"/>
        </w:rPr>
      </w:pPr>
    </w:p>
    <w:p w14:paraId="3121177B">
      <w:pPr>
        <w:rPr>
          <w:rFonts w:hint="default"/>
          <w:lang w:val="en-US"/>
        </w:rPr>
      </w:pPr>
    </w:p>
    <w:p w14:paraId="2B8AA90E">
      <w:pPr>
        <w:rPr>
          <w:rFonts w:hint="default"/>
          <w:lang w:val="en-US"/>
        </w:rPr>
      </w:pPr>
    </w:p>
    <w:p w14:paraId="7CEE316A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4</w:t>
      </w:r>
    </w:p>
    <w:p w14:paraId="6ED7618A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%P= -D*ΔP+1/2*Convexity*(ΔP)</w:t>
      </w:r>
      <w:r>
        <w:rPr>
          <w:rFonts w:hint="default" w:ascii="Times New Roman" w:hAnsi="Times New Roman" w:cs="Times New Roman"/>
          <w:b w:val="0"/>
          <w:bCs w:val="0"/>
          <w:vertAlign w:val="superscript"/>
          <w:lang w:val="en-US" w:eastAsia="zh-CN"/>
        </w:rPr>
        <w:t>2</w:t>
      </w:r>
    </w:p>
    <w:p w14:paraId="58773280">
      <w:pPr>
        <w:rPr>
          <w:rFonts w:hint="default"/>
          <w:lang w:val="en-US"/>
        </w:rPr>
      </w:pPr>
    </w:p>
    <w:p w14:paraId="1C7E1838">
      <w:pPr>
        <w:rPr>
          <w:rFonts w:hint="default"/>
          <w:lang w:val="en-US"/>
        </w:rPr>
      </w:pPr>
    </w:p>
    <w:p w14:paraId="21E29658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5</w:t>
      </w:r>
    </w:p>
    <w:p w14:paraId="3CCBED2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Interest Rate increases, the total return of bond held until maturity is 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greater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than the yield to maturity at purchase</w:t>
      </w:r>
    </w:p>
    <w:p w14:paraId="46AE542A">
      <w:pPr>
        <w:rPr>
          <w:rFonts w:hint="default"/>
          <w:lang w:val="en-US"/>
        </w:rPr>
      </w:pPr>
    </w:p>
    <w:p w14:paraId="2D32485D">
      <w:pPr>
        <w:rPr>
          <w:rFonts w:hint="default"/>
          <w:lang w:val="en-US"/>
        </w:rPr>
      </w:pPr>
    </w:p>
    <w:p w14:paraId="3580D5F1">
      <w:pPr>
        <w:rPr>
          <w:rFonts w:hint="default"/>
          <w:lang w:val="en-US"/>
        </w:rPr>
      </w:pPr>
    </w:p>
    <w:p w14:paraId="5E9B9A42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6</w:t>
      </w:r>
    </w:p>
    <w:p w14:paraId="3AC0C923">
      <w:pPr>
        <w:numPr>
          <w:ilvl w:val="0"/>
          <w:numId w:val="2"/>
        </w:numPr>
        <w:ind w:left="42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deferred coupon bond/split coupon bond:</w:t>
      </w:r>
    </w:p>
    <w:p w14:paraId="3BF13DB9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doesn’t pay for the first few years and pay higher than normally</w:t>
      </w:r>
    </w:p>
    <w:p w14:paraId="2AB94EDA">
      <w:pPr>
        <w:numPr>
          <w:ilvl w:val="0"/>
          <w:numId w:val="2"/>
        </w:numPr>
        <w:ind w:left="42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payment-in-kind coupon bond: </w:t>
      </w:r>
    </w:p>
    <w:p w14:paraId="4C05A517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allow issuere to pay interests in the form of additional bonds instead of paying interest rate</w:t>
      </w:r>
    </w:p>
    <w:p w14:paraId="6B3450E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6882C976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7</w:t>
      </w:r>
    </w:p>
    <w:p w14:paraId="5C06C14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recourse: segregated(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分离的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) pool of asset + issuer </w:t>
      </w:r>
    </w:p>
    <w:p w14:paraId="288391FD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covered bond</w:t>
      </w:r>
    </w:p>
    <w:p w14:paraId="26EB3B4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non-recourse: segregated pool of asset</w:t>
      </w:r>
    </w:p>
    <w:p w14:paraId="063D88EF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ABS/MBS</w:t>
      </w:r>
    </w:p>
    <w:p w14:paraId="6A07BB8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full-recourse: issuer</w:t>
      </w:r>
    </w:p>
    <w:p w14:paraId="28937A63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corporate bond</w:t>
      </w:r>
    </w:p>
    <w:p w14:paraId="504DAFF0">
      <w:pPr>
        <w:numPr>
          <w:ilvl w:val="0"/>
          <w:numId w:val="0"/>
        </w:numPr>
        <w:ind w:left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</w:p>
    <w:p w14:paraId="665752CB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8</w:t>
      </w:r>
    </w:p>
    <w:p w14:paraId="5795AAF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real rate=underlying pool of mortgages- servicing fee- adnimistration fee</w:t>
      </w:r>
    </w:p>
    <w:p w14:paraId="17265D1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real rate=weighted average coupon (WAC)-- servicing fee- adnimistration fee</w:t>
      </w:r>
    </w:p>
    <w:p w14:paraId="4058F47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56BC3A32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11</w:t>
      </w:r>
    </w:p>
    <w:p w14:paraId="646A1077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documentation:</w:t>
      </w:r>
    </w:p>
    <w:p w14:paraId="0799B85E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purchase agreement: representation of the quality of assets</w:t>
      </w:r>
      <w:r>
        <w:commentReference w:id="1"/>
      </w:r>
    </w:p>
    <w:p w14:paraId="31FCC603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prospectus: (1)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 w:eastAsia="zh-CN"/>
        </w:rPr>
        <w:t>description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of transaction structure (2) 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 w:eastAsia="zh-CN"/>
        </w:rPr>
        <w:t>documentation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of enhancements to reduce credit risk</w:t>
      </w:r>
      <w:r>
        <w:commentReference w:id="2"/>
      </w:r>
    </w:p>
    <w:p w14:paraId="76E69E2D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Roles</w:t>
      </w:r>
    </w:p>
    <w:p w14:paraId="31AC690E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seller/originator: sell loan asset (bank)</w:t>
      </w:r>
    </w:p>
    <w:p w14:paraId="0B0BD3AD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SPV/SPE</w:t>
      </w:r>
      <w:r>
        <w:commentReference w:id="3"/>
      </w:r>
      <w:r>
        <w:rPr>
          <w:rFonts w:hint="default"/>
          <w:lang w:val="en-US"/>
        </w:rPr>
        <w:t>: buy loan asst;launch securitization(ABS/MBS)</w:t>
      </w:r>
    </w:p>
    <w:p w14:paraId="0F153DEB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Investor:buy MBS,get cash flow</w:t>
      </w:r>
    </w:p>
    <w:p w14:paraId="2BD5ACB4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Servicer:manage the payback of cash-flow</w:t>
      </w:r>
    </w:p>
    <w:p w14:paraId="19DF52A1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Trustee:representing investor to hold asset</w:t>
      </w:r>
    </w:p>
    <w:p w14:paraId="5A4A476D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Rating Agency/Underwriter/Credit Enhancer</w:t>
      </w:r>
    </w:p>
    <w:p w14:paraId="08083176">
      <w:pPr>
        <w:numPr>
          <w:numId w:val="0"/>
        </w:numPr>
        <w:rPr>
          <w:rFonts w:hint="default"/>
          <w:lang w:val="en-US"/>
        </w:rPr>
      </w:pPr>
    </w:p>
    <w:p w14:paraId="5DD6908E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14</w:t>
      </w:r>
    </w:p>
    <w:p w14:paraId="35CEF0F3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bond trading at no-arbitrage value: using the proper spot-rate= yield-to-maturity</w:t>
      </w:r>
    </w:p>
    <w:p w14:paraId="2F454D01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bond trading at premium: old coupon rate &gt; yield-to-maturity</w:t>
      </w:r>
    </w:p>
    <w:p w14:paraId="4DAF22E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587CF59E">
      <w:pPr>
        <w:numPr>
          <w:ilvl w:val="0"/>
          <w:numId w:val="0"/>
        </w:numPr>
        <w:rPr>
          <w:rFonts w:hint="eastAsia" w:ascii="Times New Roman Bold" w:hAnsi="Times New Roman Bold" w:eastAsia="Malgun Gothic" w:cs="Times New Roman Bold"/>
          <w:b/>
          <w:bCs/>
          <w:sz w:val="28"/>
          <w:szCs w:val="28"/>
          <w:lang w:val="en-US" w:eastAsia="ko-KR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1</w:t>
      </w:r>
      <w:r>
        <w:rPr>
          <w:rFonts w:hint="eastAsia" w:ascii="Times New Roman Bold" w:hAnsi="Times New Roman Bold" w:eastAsia="Malgun Gothic" w:cs="Times New Roman Bold"/>
          <w:b/>
          <w:bCs/>
          <w:sz w:val="28"/>
          <w:szCs w:val="28"/>
          <w:lang w:val="en-US" w:eastAsia="ko-KR" w:bidi="ar-SA"/>
        </w:rPr>
        <w:t>5</w:t>
      </w:r>
    </w:p>
    <w:p w14:paraId="4EBA8FFB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pay-back order: secure debt- senior unsecured debt- subordinated debt</w:t>
      </w:r>
      <w:r>
        <w:rPr>
          <w:rFonts w:hint="eastAsia" w:ascii="Times New Roman" w:hAnsi="Times New Roman" w:eastAsia="Malgun Gothic" w:cs="Times New Roman"/>
          <w:b w:val="0"/>
          <w:bCs w:val="0"/>
          <w:lang w:val="en-US" w:eastAsia="ko-KR"/>
        </w:rPr>
        <w:t>-</w:t>
      </w: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>prefer</w:t>
      </w:r>
      <w:r>
        <w:rPr>
          <w:rFonts w:hint="default" w:ascii="Times New Roman" w:hAnsi="Times New Roman" w:eastAsia="SimSun" w:cs="Times New Roman"/>
          <w:b w:val="0"/>
          <w:bCs w:val="0"/>
          <w:lang w:val="en-US" w:eastAsia="zh-CN"/>
        </w:rPr>
        <w:t>red stock-common stock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</w:t>
      </w:r>
    </w:p>
    <w:p w14:paraId="2992AED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17A1B7D0">
      <w:pPr>
        <w:numPr>
          <w:ilvl w:val="0"/>
          <w:numId w:val="0"/>
        </w:numPr>
        <w:rPr>
          <w:rFonts w:hint="default" w:ascii="Times New Roman Bold" w:hAnsi="Times New Roman Bold" w:eastAsia="Malgun Gothic" w:cs="Times New Roman Bold"/>
          <w:b/>
          <w:bCs/>
          <w:sz w:val="28"/>
          <w:szCs w:val="28"/>
          <w:lang w:val="en-US" w:eastAsia="ko-KR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16</w:t>
      </w:r>
    </w:p>
    <w:p w14:paraId="6D733B8A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reinvestment risk:you receive cash earlier than expected and then have to reinvest it at a lower interest rate </w:t>
      </w:r>
    </w:p>
    <w:p w14:paraId="712F1E3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0FF7CE1F">
      <w:pPr>
        <w:numPr>
          <w:ilvl w:val="0"/>
          <w:numId w:val="0"/>
        </w:numPr>
        <w:rPr>
          <w:rFonts w:hint="default" w:ascii="Times New Roman Bold" w:hAnsi="Times New Roman Bold" w:eastAsia="Malgun Gothic" w:cs="Times New Roman Bold"/>
          <w:b/>
          <w:bCs/>
          <w:sz w:val="28"/>
          <w:szCs w:val="28"/>
          <w:lang w:val="en-US" w:eastAsia="ko-KR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18</w:t>
      </w:r>
    </w:p>
    <w:p w14:paraId="6C06969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Macaulay Duration:the weighted average time to receive cash flow</w:t>
      </w:r>
      <w:r>
        <w:commentReference w:id="4"/>
      </w:r>
    </w:p>
    <w:p w14:paraId="7E3B82C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drawing>
          <wp:inline distT="0" distB="0" distL="114300" distR="114300">
            <wp:extent cx="1868805" cy="819785"/>
            <wp:effectExtent l="0" t="0" r="10795" b="18415"/>
            <wp:docPr id="3" name="Picture 3" descr="a50683b3-fb96-4e51-945c-fe7d99f5a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50683b3-fb96-4e51-945c-fe7d99f5a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880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drawing>
          <wp:inline distT="0" distB="0" distL="114300" distR="114300">
            <wp:extent cx="1588770" cy="1829435"/>
            <wp:effectExtent l="0" t="0" r="11430" b="24765"/>
            <wp:docPr id="4" name="Picture 4" descr="15efd730-6d4e-47b0-b772-8beb5d7d07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5efd730-6d4e-47b0-b772-8beb5d7d075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8E038D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2D072AB3">
      <w:pPr>
        <w:numPr>
          <w:ilvl w:val="0"/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Question 21</w:t>
      </w:r>
    </w:p>
    <w:p w14:paraId="1139541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leverage ratio=debt/capital,debt/EBITDA,cash flows/debt</w:t>
      </w:r>
    </w:p>
    <w:p w14:paraId="0E5EB68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coverage ratio:EBITDA/interest expesne;EBIT/interest expense</w:t>
      </w:r>
    </w:p>
    <w:p w14:paraId="0F91A80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profitability ratio</w:t>
      </w:r>
    </w:p>
    <w:p w14:paraId="21023C4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7CA136DD">
      <w:pPr>
        <w:numPr>
          <w:ilvl w:val="0"/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Question 2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2</w:t>
      </w:r>
    </w:p>
    <w:p w14:paraId="4E967941">
      <w:pPr>
        <w:numPr>
          <w:ilvl w:val="0"/>
          <w:numId w:val="5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Commercial paper is a short-term, unsecured debt instrument issued by a company.</w:t>
      </w:r>
    </w:p>
    <w:p w14:paraId="66210F8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back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up line from bank</w:t>
      </w:r>
    </w:p>
    <w:p w14:paraId="7B39A38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In the U.S., commercial paper typically has maturities ranging from 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>a few days up to 270 days.</w:t>
      </w:r>
      <w:r>
        <w:commentReference w:id="5"/>
      </w:r>
    </w:p>
    <w:p w14:paraId="218CA2A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/>
          <w:lang w:val="en-US"/>
        </w:rPr>
        <w:t>no pledge collateral</w:t>
      </w:r>
    </w:p>
    <w:p w14:paraId="5F4E5E0F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 bill(treasury bills/t-bills) is a short-term government debt instrument.</w:t>
      </w:r>
    </w:p>
    <w:p w14:paraId="78346D7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6DEDCC4B">
      <w:pPr>
        <w:numPr>
          <w:ilvl w:val="0"/>
          <w:numId w:val="0"/>
        </w:num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Question 2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4</w:t>
      </w:r>
      <w:r>
        <w:commentReference w:id="6"/>
      </w:r>
    </w:p>
    <w:p w14:paraId="1DB8842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CDO backed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by banks loans= CLO;</w:t>
      </w:r>
    </w:p>
    <w:p w14:paraId="7294D46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CDO backed by company and emerging market= CBO(Collateral Bond Obligation)</w:t>
      </w:r>
    </w:p>
    <w:p w14:paraId="7938E5F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CDO backed by ABS,RMBS,CMBS,other CDOs are structured finance CDOs</w:t>
      </w:r>
    </w:p>
    <w:p w14:paraId="3950EF93">
      <w:pPr>
        <w:numPr>
          <w:ilvl w:val="0"/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</w:p>
    <w:p w14:paraId="117E8303">
      <w:pPr>
        <w:numPr>
          <w:ilvl w:val="0"/>
          <w:numId w:val="0"/>
        </w:num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Question 2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7</w:t>
      </w:r>
    </w:p>
    <w:p w14:paraId="44D0FC0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Modi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fied Duration:yield duration static()</w:t>
      </w:r>
    </w:p>
    <w:p w14:paraId="38A691D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drawing>
          <wp:inline distT="0" distB="0" distL="114300" distR="114300">
            <wp:extent cx="1566545" cy="231775"/>
            <wp:effectExtent l="0" t="0" r="8255" b="22225"/>
            <wp:docPr id="7" name="Picture 7" descr="8eb9928b-71c9-40eb-952b-d4d6d0d09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8eb9928b-71c9-40eb-952b-d4d6d0d093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654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AEB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Effective Duration:price sensitivity to a parallel shift in the benchmark yield curve</w:t>
      </w:r>
    </w:p>
    <w:p w14:paraId="5F8356E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Macaulay Duration:timing of cash flow not price sensitivity towards yield curve shift</w:t>
      </w:r>
    </w:p>
    <w:p w14:paraId="600EB34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6F9446A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Question 2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8</w:t>
      </w:r>
    </w:p>
    <w:p w14:paraId="06F0E41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Euro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bond: </w:t>
      </w:r>
    </w:p>
    <w:p w14:paraId="1F710395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 US company issues a bond in Japanese yen outside Japan</w:t>
      </w:r>
    </w:p>
    <w:p w14:paraId="11A30947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outside any single country’s domestic jurisdiction, or outside the jurisdiction of the currency country.</w:t>
      </w:r>
    </w:p>
    <w:p w14:paraId="692D189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33</w:t>
      </w:r>
    </w:p>
    <w:p w14:paraId="6E64775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A.bond with embedded option: don’t have well-defined internal rate of return(yield-to-maturity);modified and Macaulay durations don’t apply;effective duration is appropriate </w:t>
      </w:r>
    </w:p>
    <w:p w14:paraId="61C79E1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6BAEC28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49E6EEB7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Ethics</w:t>
      </w:r>
    </w:p>
    <w:p w14:paraId="5093C55A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 xml:space="preserve">Derivatives </w:t>
      </w:r>
    </w:p>
    <w:p w14:paraId="7A88EC3E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Alternatives</w:t>
      </w:r>
    </w:p>
    <w:p w14:paraId="121FB614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Financial Statement</w:t>
      </w:r>
    </w:p>
    <w:p w14:paraId="7105AE15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 xml:space="preserve">Portfolio Management </w:t>
      </w:r>
    </w:p>
    <w:p w14:paraId="5252B1FA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Equity Investment</w:t>
      </w:r>
    </w:p>
    <w:p w14:paraId="57E8D53C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Quant</w:t>
      </w:r>
    </w:p>
    <w:p w14:paraId="53FD07AF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 xml:space="preserve">Economics </w:t>
      </w:r>
    </w:p>
    <w:p w14:paraId="37811FC8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Corporate Finance</w:t>
      </w:r>
    </w:p>
    <w:p w14:paraId="2DC7858A">
      <w:pPr>
        <w:rPr>
          <w:rFonts w:hint="default"/>
          <w:lang w:val="en-US"/>
        </w:rPr>
      </w:pPr>
    </w:p>
    <w:p w14:paraId="7B247777">
      <w:pPr>
        <w:pStyle w:val="2"/>
        <w:bidi w:val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CFA Mock</w:t>
      </w:r>
    </w:p>
    <w:p w14:paraId="07CCCA2C">
      <w:pPr>
        <w:pStyle w:val="3"/>
        <w:bidi w:val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Mock 1</w:t>
      </w:r>
    </w:p>
    <w:p w14:paraId="76E4E390">
      <w:pPr>
        <w:pStyle w:val="3"/>
        <w:bidi w:val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Mock 2</w:t>
      </w:r>
    </w:p>
    <w:p w14:paraId="6FA0D8FE">
      <w:pPr>
        <w:pStyle w:val="3"/>
        <w:bidi w:val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Mock 3</w:t>
      </w:r>
    </w:p>
    <w:p w14:paraId="08B09C45">
      <w:pPr>
        <w:pStyle w:val="3"/>
        <w:bidi w:val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Mock 4</w:t>
      </w:r>
    </w:p>
    <w:p w14:paraId="0E4A36A7">
      <w:pPr>
        <w:pStyle w:val="3"/>
        <w:bidi w:val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Mock 5</w:t>
      </w:r>
    </w:p>
    <w:p w14:paraId="5CA87193">
      <w:pPr>
        <w:rPr>
          <w:rFonts w:hint="default"/>
          <w:lang w:val="en-US"/>
        </w:rPr>
      </w:pPr>
    </w:p>
    <w:p w14:paraId="29E9F481">
      <w:pPr>
        <w:numPr>
          <w:ilvl w:val="0"/>
          <w:numId w:val="0"/>
        </w:numPr>
        <w:pBdr>
          <w:bottom w:val="single" w:color="auto" w:sz="12" w:space="0"/>
        </w:pBdr>
        <w:rPr>
          <w:rFonts w:hint="default" w:ascii="Times New Roman Regular" w:hAnsi="Times New Roman Regular" w:cs="Times New Roman Regular"/>
          <w:b w:val="0"/>
          <w:lang w:val="en-US"/>
        </w:rPr>
      </w:pPr>
    </w:p>
    <w:p w14:paraId="63BCBC28">
      <w:pPr>
        <w:numPr>
          <w:ilvl w:val="0"/>
          <w:numId w:val="0"/>
        </w:numPr>
        <w:rPr>
          <w:rFonts w:hint="default" w:ascii="Times New Roman Regular" w:hAnsi="Times New Roman Regular" w:cs="Times New Roman Regular"/>
          <w:b w:val="0"/>
          <w:lang w:val="en-US"/>
        </w:rPr>
      </w:pPr>
    </w:p>
    <w:p w14:paraId="67A5A7DF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Random Discuss</w:t>
      </w:r>
    </w:p>
    <w:p w14:paraId="06C42CF7">
      <w:pPr>
        <w:numPr>
          <w:ilvl w:val="0"/>
          <w:numId w:val="0"/>
        </w:numPr>
        <w:rPr>
          <w:rFonts w:hint="default" w:ascii="Times New Roman Regular" w:hAnsi="Times New Roman Regular" w:cs="Times New Roman Regular"/>
          <w:b w:val="0"/>
          <w:lang w:val="en-US"/>
        </w:rPr>
      </w:pPr>
    </w:p>
    <w:p w14:paraId="3AC1F8C2">
      <w:pPr>
        <w:numPr>
          <w:ilvl w:val="0"/>
          <w:numId w:val="7"/>
        </w:numPr>
        <w:rPr>
          <w:rFonts w:hint="default" w:ascii="Times New Roman Regular" w:hAnsi="Times New Roman Regular" w:cs="Times New Roman Regular"/>
          <w:b w:val="0"/>
          <w:lang w:val="en-US"/>
        </w:rPr>
      </w:pPr>
      <w:r>
        <w:rPr>
          <w:rFonts w:hint="default" w:ascii="Times New Roman Regular" w:hAnsi="Times New Roman Regular" w:cs="Times New Roman Regular"/>
          <w:b w:val="0"/>
          <w:lang w:val="en-US"/>
        </w:rPr>
        <w:t>why net income is different from cash flow,isn’t it just the cash-in and cash-out?</w:t>
      </w:r>
    </w:p>
    <w:p w14:paraId="509149F2">
      <w:pPr>
        <w:numPr>
          <w:ilvl w:val="0"/>
          <w:numId w:val="7"/>
        </w:numPr>
        <w:rPr>
          <w:rFonts w:hint="default" w:ascii="Times New Roman Regular" w:hAnsi="Times New Roman Regular" w:cs="Times New Roman Regular"/>
          <w:b w:val="0"/>
          <w:lang w:val="en-US"/>
        </w:rPr>
      </w:pPr>
      <w:r>
        <w:rPr>
          <w:rFonts w:hint="default" w:ascii="Times New Roman Regular" w:hAnsi="Times New Roman Regular" w:cs="Times New Roman Regular"/>
          <w:b w:val="0"/>
          <w:lang w:val="en-US"/>
        </w:rPr>
        <w:t>Anti-risk asset</w:t>
      </w:r>
    </w:p>
    <w:p w14:paraId="72FB5713">
      <w:pPr>
        <w:numPr>
          <w:ilvl w:val="1"/>
          <w:numId w:val="7"/>
        </w:numPr>
        <w:ind w:left="840" w:leftChars="0" w:hanging="420" w:firstLineChars="0"/>
        <w:rPr>
          <w:rFonts w:hint="default" w:ascii="Times New Roman Regular" w:hAnsi="Times New Roman Regular" w:cs="Times New Roman Regular"/>
          <w:b w:val="0"/>
          <w:lang w:val="en-US"/>
        </w:rPr>
      </w:pPr>
      <w:r>
        <w:rPr>
          <w:rFonts w:hint="default" w:ascii="Times New Roman Regular" w:hAnsi="Times New Roman Regular" w:cs="Times New Roman Regular"/>
          <w:b w:val="0"/>
          <w:lang w:val="en-US"/>
        </w:rPr>
        <w:t>safe haven currecies</w:t>
      </w:r>
    </w:p>
    <w:p w14:paraId="12A6851E">
      <w:pPr>
        <w:numPr>
          <w:ilvl w:val="2"/>
          <w:numId w:val="7"/>
        </w:numPr>
        <w:ind w:left="1260" w:leftChars="0" w:hanging="420" w:firstLineChars="0"/>
        <w:rPr>
          <w:rFonts w:hint="default" w:ascii="Times New Roman Regular" w:hAnsi="Times New Roman Regular" w:cs="Times New Roman Regular"/>
          <w:b w:val="0"/>
          <w:lang w:val="en-US"/>
        </w:rPr>
      </w:pPr>
      <w:r>
        <w:rPr>
          <w:rFonts w:hint="default" w:ascii="Times New Roman Regular" w:hAnsi="Times New Roman Regular" w:cs="Times New Roman Regular"/>
          <w:b w:val="0"/>
          <w:lang w:val="en-US"/>
        </w:rPr>
        <w:t>Japanese yuan:net creditor</w:t>
      </w:r>
    </w:p>
    <w:p w14:paraId="6FA24396">
      <w:pPr>
        <w:numPr>
          <w:ilvl w:val="0"/>
          <w:numId w:val="7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lang w:val="en-US"/>
        </w:rPr>
      </w:pPr>
      <w:r>
        <w:rPr>
          <w:rFonts w:hint="default" w:ascii="Times New Roman Regular" w:hAnsi="Times New Roman Regular" w:cs="Times New Roman Regular"/>
          <w:b w:val="0"/>
          <w:lang w:val="en-US"/>
        </w:rPr>
        <w:t>subtypes of derivates</w:t>
      </w:r>
    </w:p>
    <w:p w14:paraId="09583D78">
      <w:pPr>
        <w:numPr>
          <w:ilvl w:val="0"/>
          <w:numId w:val="7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lang w:val="en-US"/>
        </w:rPr>
      </w:pPr>
      <w:r>
        <w:rPr>
          <w:rFonts w:hint="default" w:ascii="Times New Roman Regular" w:hAnsi="Times New Roman Regular" w:cs="Times New Roman Regular"/>
          <w:b w:val="0"/>
          <w:lang w:val="en-US"/>
        </w:rPr>
        <w:t>risk management and profit generation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velyndu" w:date="2026-05-03T13:15:05Z" w:initials="e">
    <w:p w14:paraId="343CA670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interest rate:borrower</w:t>
      </w:r>
    </w:p>
    <w:p w14:paraId="6C0DEBD6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yield curve: market</w:t>
      </w:r>
    </w:p>
    <w:p w14:paraId="3EC1A01B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yield:investors</w:t>
      </w:r>
    </w:p>
  </w:comment>
  <w:comment w:id="1" w:author="evelyndu" w:date="2026-05-03T19:47:24Z" w:initials="e">
    <w:p w14:paraId="6B2A7477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originator and EPE</w:t>
      </w:r>
    </w:p>
  </w:comment>
  <w:comment w:id="2" w:author="evelyndu" w:date="2026-05-03T19:47:29Z" w:initials="e">
    <w:p w14:paraId="2349339F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for investors</w:t>
      </w:r>
    </w:p>
  </w:comment>
  <w:comment w:id="3" w:author="evelyndu" w:date="2026-05-03T19:51:48Z" w:initials="e">
    <w:p w14:paraId="76DA465A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legal owner but bankruptcy remote</w:t>
      </w:r>
    </w:p>
  </w:comment>
  <w:comment w:id="4" w:author="evelyndu" w:date="2026-05-03T20:49:09Z" w:initials="e">
    <w:p w14:paraId="64F25AB2">
      <w:pPr>
        <w:pStyle w:val="6"/>
        <w:rPr>
          <w:rFonts w:hint="eastAsia" w:eastAsiaTheme="minorEastAsia"/>
          <w:lang w:val="en-US" w:eastAsia="zh-CN"/>
        </w:rPr>
      </w:pPr>
      <w:r>
        <w:rPr>
          <w:rFonts w:hint="default"/>
          <w:lang w:val="en-US"/>
        </w:rPr>
        <w:t>twist:</w:t>
      </w:r>
      <w:r>
        <w:rPr>
          <w:rFonts w:hint="eastAsia"/>
          <w:lang w:val="en-US" w:eastAsia="zh-CN"/>
        </w:rPr>
        <w:t>反直觉</w:t>
      </w:r>
    </w:p>
  </w:comment>
  <w:comment w:id="5" w:author="evelyndu" w:date="2026-05-03T20:52:40Z" w:initials="e">
    <w:p w14:paraId="48C668DA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avoid SEC registration requirements</w:t>
      </w:r>
    </w:p>
  </w:comment>
  <w:comment w:id="6" w:author="evelyndu" w:date="2026-05-03T21:01:29Z" w:initials="e">
    <w:p w14:paraId="449B88C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generic term:  Bond is a generic term for many types of debt securities.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EC1A01B" w15:done="0"/>
  <w15:commentEx w15:paraId="6B2A7477" w15:done="0"/>
  <w15:commentEx w15:paraId="2349339F" w15:done="0"/>
  <w15:commentEx w15:paraId="76DA465A" w15:done="0"/>
  <w15:commentEx w15:paraId="64F25AB2" w15:done="0"/>
  <w15:commentEx w15:paraId="48C668DA" w15:done="0"/>
  <w15:commentEx w15:paraId="449B88C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algun Gothic">
    <w:altName w:val="Apple SD Gothic Ne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D72BC"/>
    <w:multiLevelType w:val="singleLevel"/>
    <w:tmpl w:val="EFBD72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77DEEC6"/>
    <w:multiLevelType w:val="singleLevel"/>
    <w:tmpl w:val="F77DEEC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B9BD016"/>
    <w:multiLevelType w:val="singleLevel"/>
    <w:tmpl w:val="FB9BD01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BFECEAA"/>
    <w:multiLevelType w:val="multilevel"/>
    <w:tmpl w:val="FBFECEA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FDC7891A"/>
    <w:multiLevelType w:val="singleLevel"/>
    <w:tmpl w:val="FDC789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793540B"/>
    <w:multiLevelType w:val="multilevel"/>
    <w:tmpl w:val="579354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6FDC4891"/>
    <w:multiLevelType w:val="multilevel"/>
    <w:tmpl w:val="6FDC489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velyndu">
    <w15:presenceInfo w15:providerId="None" w15:userId="evelynd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EB297D"/>
    <w:rsid w:val="0DE8C2E4"/>
    <w:rsid w:val="1DE91368"/>
    <w:rsid w:val="1FFDEB8F"/>
    <w:rsid w:val="2D75D95C"/>
    <w:rsid w:val="32EF368C"/>
    <w:rsid w:val="369F92E2"/>
    <w:rsid w:val="37BB1A5A"/>
    <w:rsid w:val="3F3F82CC"/>
    <w:rsid w:val="465F1059"/>
    <w:rsid w:val="47D653AC"/>
    <w:rsid w:val="4FFBC068"/>
    <w:rsid w:val="5F7E1C6C"/>
    <w:rsid w:val="5FEB200C"/>
    <w:rsid w:val="5FFB79E2"/>
    <w:rsid w:val="6C6DBC8D"/>
    <w:rsid w:val="6F7104D5"/>
    <w:rsid w:val="6FFB5AA6"/>
    <w:rsid w:val="736FC89B"/>
    <w:rsid w:val="76DB4732"/>
    <w:rsid w:val="76ED53CE"/>
    <w:rsid w:val="779F59B3"/>
    <w:rsid w:val="77BFE35A"/>
    <w:rsid w:val="77E7EEAC"/>
    <w:rsid w:val="77EFB5BB"/>
    <w:rsid w:val="7AFF6F31"/>
    <w:rsid w:val="7CEE7FA4"/>
    <w:rsid w:val="7E4BDAA7"/>
    <w:rsid w:val="7E6C45A9"/>
    <w:rsid w:val="7F6B8690"/>
    <w:rsid w:val="7FBA36C0"/>
    <w:rsid w:val="7FD78994"/>
    <w:rsid w:val="7FF2EFE8"/>
    <w:rsid w:val="7FF6C052"/>
    <w:rsid w:val="9E3FBC90"/>
    <w:rsid w:val="A8EFC0F7"/>
    <w:rsid w:val="B5F7F9BF"/>
    <w:rsid w:val="BBDB17C9"/>
    <w:rsid w:val="BCFF6308"/>
    <w:rsid w:val="BD770FED"/>
    <w:rsid w:val="BDA3D143"/>
    <w:rsid w:val="BEFEA9E0"/>
    <w:rsid w:val="BF63A894"/>
    <w:rsid w:val="CBBD79BE"/>
    <w:rsid w:val="CDFFD6CB"/>
    <w:rsid w:val="DCF3FEAC"/>
    <w:rsid w:val="DE77944F"/>
    <w:rsid w:val="DFE50B8F"/>
    <w:rsid w:val="E5BF7E68"/>
    <w:rsid w:val="E9F22BFB"/>
    <w:rsid w:val="ED1D0156"/>
    <w:rsid w:val="F3DF7D42"/>
    <w:rsid w:val="F777FAB1"/>
    <w:rsid w:val="F8CF4F5D"/>
    <w:rsid w:val="FAAF1B91"/>
    <w:rsid w:val="FBEB297D"/>
    <w:rsid w:val="FC6F89CD"/>
    <w:rsid w:val="FDB9BF88"/>
    <w:rsid w:val="FDDD3AEE"/>
    <w:rsid w:val="FE2D16E4"/>
    <w:rsid w:val="FEAFAF96"/>
    <w:rsid w:val="FEBB959B"/>
    <w:rsid w:val="FEFF3C02"/>
    <w:rsid w:val="FFBF9C04"/>
    <w:rsid w:val="FFDB9B39"/>
    <w:rsid w:val="FFFC9C59"/>
    <w:rsid w:val="FFFFE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2026-04-12T01:49:00Z</dcterms:created>
  <dc:creator>WPS_1748445217</dc:creator>
  <cp:lastModifiedBy>evelyndu</cp:lastModifiedBy>
  <dcterms:modified xsi:type="dcterms:W3CDTF">2026-05-04T05:52:38Z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C570E7F33EFF2E2F3F05DC69FF792181_41</vt:lpwstr>
  </property>
</Properties>
</file>