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>
      <w:pPr>
        <w:pStyle w:val="Title"/>
      </w:pPr>
      <w:r>
        <w:t xml:space="preserve">AI system intake SOP</w:t>
      </w:r>
    </w:p>
    <w:p>
      <w:pPr>
        <w:pStyle w:val="Heading2"/>
      </w:pPr>
      <w:r>
        <w:t xml:space="preserve">Purpose</w:t>
      </w:r>
    </w:p>
    <w:p>
      <w:r>
        <w:t xml:space="preserve">Give every AI system a documented risk tier and a recorded set of controls before it goes into use, so risk is identified and owned at intake rather than discovered after the fact. Legal content last reviewed: 2026-09.</w:t>
      </w:r>
    </w:p>
    <w:p>
      <w:pPr>
        <w:pStyle w:val="Heading2"/>
      </w:pPr>
      <w:r>
        <w:t xml:space="preserve">Scope</w:t>
      </w:r>
    </w:p>
    <w:p>
      <w:r>
        <w:t xml:space="preserve">Applies to any AI system a team proposes to introduce, build, buy, or extend to a new use — including a new use of a system already on the inventory.</w:t>
      </w:r>
    </w:p>
    <w:p>
      <w:pPr>
        <w:pStyle w:val="Heading2"/>
      </w:pPr>
      <w:r>
        <w:t xml:space="preserve">Roles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rPr>
          <w:b/>
        </w:rPr>
        <w:t xml:space="preserve">Requesting team</w:t>
      </w:r>
      <w:r>
        <w:t xml:space="preserve"> — describes the use case, the data it uses, and whether a person reviews each output.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rPr>
          <w:b/>
        </w:rPr>
        <w:t xml:space="preserve">AI governance lead</w:t>
      </w:r>
      <w:r>
        <w:t xml:space="preserve"> — runs the intake, assigns the tier, and maintains the AI inventory.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rPr>
          <w:b/>
        </w:rPr>
        <w:t xml:space="preserve">Legal</w:t>
      </w:r>
      <w:r>
        <w:t xml:space="preserve"> — reviews any prohibited-practice concern and any high-risk tiering before approval.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rPr>
          <w:b/>
        </w:rPr>
        <w:t xml:space="preserve">Security</w:t>
      </w:r>
      <w:r>
        <w:t xml:space="preserve"> — reviews the supplier and data-handling controls for the system.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rPr>
          <w:b/>
        </w:rPr>
        <w:t xml:space="preserve">Data protection</w:t>
      </w:r>
      <w:r>
        <w:t xml:space="preserve"> — confirms personal-data use and provenance, and any data-subject impact.</w:t>
      </w:r>
    </w:p>
    <w:p>
      <w:pPr>
        <w:pStyle w:val="Heading2"/>
      </w:pPr>
      <w:r>
        <w:t xml:space="preserve">Frequency</w:t>
      </w:r>
    </w:p>
    <w:p>
      <w:r>
        <w:t xml:space="preserve">Every new system at proposal; every material change of use; a full re-review every year.</w:t>
      </w:r>
    </w:p>
    <w:p>
      <w:pPr>
        <w:pStyle w:val="Heading2"/>
      </w:pPr>
      <w:r>
        <w:t xml:space="preserve">Steps</w:t>
      </w:r>
    </w:p>
    <w:p>
      <w:pPr>
        <w:spacing w:after="60"/>
        <w:ind w:left="720" w:hanging="360"/>
      </w:pPr>
      <w:r>
        <w:t xml:space="preserve">1.</w:t>
      </w:r>
      <w:r>
        <w:tab/>
      </w:r>
      <w:r>
        <w:t xml:space="preserve">Restate the use case: purpose, affected people, decisions made or supported, and whether a person reviews each output </w:t>
      </w:r>
      <w:r>
        <w:rPr>
          <w:b/>
        </w:rPr>
        <w:t xml:space="preserve">XW-021</w:t>
      </w:r>
    </w:p>
    <w:p>
      <w:pPr>
        <w:spacing w:after="60"/>
        <w:ind w:left="720" w:hanging="360"/>
      </w:pPr>
      <w:r>
        <w:t xml:space="preserve">2.</w:t>
      </w:r>
      <w:r>
        <w:tab/>
      </w:r>
      <w:r>
        <w:t xml:space="preserve">Record the data used, whether it includes personal data, and its provenance </w:t>
      </w:r>
      <w:r>
        <w:rPr>
          <w:b/>
        </w:rPr>
        <w:t xml:space="preserve">XW-028</w:t>
      </w:r>
    </w:p>
    <w:p>
      <w:pPr>
        <w:spacing w:after="60"/>
        <w:ind w:left="720" w:hanging="360"/>
      </w:pPr>
      <w:r>
        <w:t xml:space="preserve">3.</w:t>
      </w:r>
      <w:r>
        <w:tab/>
      </w:r>
      <w:r>
        <w:t xml:space="preserve">Check prohibited practices first; if one might apply, stop and escalate to legal before anything else </w:t>
      </w:r>
      <w:r>
        <w:rPr>
          <w:b/>
        </w:rPr>
        <w:t xml:space="preserve">XW-021</w:t>
      </w:r>
    </w:p>
    <w:p>
      <w:pPr>
        <w:spacing w:after="60"/>
        <w:ind w:left="720" w:hanging="360"/>
      </w:pPr>
      <w:r>
        <w:t xml:space="preserve">4.</w:t>
      </w:r>
      <w:r>
        <w:tab/>
      </w:r>
      <w:r>
        <w:t xml:space="preserve">Check the high-risk areas (employment, essential services, education, law enforcement, critical infrastructure) and tier accordingly </w:t>
      </w:r>
      <w:r>
        <w:rPr>
          <w:b/>
        </w:rPr>
        <w:t xml:space="preserve">XW-021</w:t>
      </w:r>
    </w:p>
    <w:p>
      <w:pPr>
        <w:spacing w:after="60"/>
        <w:ind w:left="720" w:hanging="360"/>
      </w:pPr>
      <w:r>
        <w:t xml:space="preserve">5.</w:t>
      </w:r>
      <w:r>
        <w:tab/>
      </w:r>
      <w:r>
        <w:t xml:space="preserve">Otherwise tier as limited-risk or minimal-risk </w:t>
      </w:r>
      <w:r>
        <w:rPr>
          <w:b/>
        </w:rPr>
        <w:t xml:space="preserve">XW-021</w:t>
      </w:r>
    </w:p>
    <w:p>
      <w:pPr>
        <w:spacing w:after="60"/>
        <w:ind w:left="720" w:hanging="360"/>
      </w:pPr>
      <w:r>
        <w:t xml:space="preserve">6.</w:t>
      </w:r>
      <w:r>
        <w:tab/>
      </w:r>
      <w:r>
        <w:t xml:space="preserve">List the required controls for the tier, mapped through the crosswalk and the NIST AI RMF functions </w:t>
      </w:r>
      <w:r>
        <w:rPr>
          <w:b/>
        </w:rPr>
        <w:t xml:space="preserve">XW-024</w:t>
      </w:r>
    </w:p>
    <w:p>
      <w:pPr>
        <w:spacing w:after="60"/>
        <w:ind w:left="720" w:hanging="360"/>
      </w:pPr>
      <w:r>
        <w:t xml:space="preserve">7.</w:t>
      </w:r>
      <w:r>
        <w:tab/>
      </w:r>
      <w:r>
        <w:t xml:space="preserve">Identify the supplier and model provider and assess them </w:t>
      </w:r>
      <w:r>
        <w:rPr>
          <w:b/>
        </w:rPr>
        <w:t xml:space="preserve">XW-023</w:t>
      </w:r>
    </w:p>
    <w:p>
      <w:pPr>
        <w:spacing w:after="60"/>
        <w:ind w:left="720" w:hanging="360"/>
      </w:pPr>
      <w:r>
        <w:t xml:space="preserve">8.</w:t>
      </w:r>
      <w:r>
        <w:tab/>
      </w:r>
      <w:r>
        <w:t xml:space="preserve">Add the system to the AI inventory using </w:t>
      </w:r>
      <w:r>
        <w:t xml:space="preserve">AI inventory record template</w:t>
      </w:r>
      <w:r>
        <w:t xml:space="preserve"> </w:t>
      </w:r>
      <w:r>
        <w:rPr>
          <w:b/>
        </w:rPr>
        <w:t xml:space="preserve">XW-022</w:t>
      </w:r>
    </w:p>
    <w:p>
      <w:pPr>
        <w:spacing w:after="60"/>
        <w:ind w:left="720" w:hanging="360"/>
      </w:pPr>
      <w:r>
        <w:t xml:space="preserve">9.</w:t>
      </w:r>
      <w:r>
        <w:tab/>
      </w:r>
      <w:r>
        <w:t xml:space="preserve">Enter any identified risk in the risk register with an owner </w:t>
      </w:r>
      <w:r>
        <w:rPr>
          <w:b/>
        </w:rPr>
        <w:t xml:space="preserve">XW-024</w:t>
      </w:r>
    </w:p>
    <w:p>
      <w:pPr>
        <w:spacing w:after="60"/>
        <w:ind w:left="720" w:hanging="360"/>
      </w:pPr>
      <w:r>
        <w:t xml:space="preserve">10.</w:t>
      </w:r>
      <w:r>
        <w:tab/>
      </w:r>
      <w:r>
        <w:t xml:space="preserve">Record the approval decision and the approver, with legal review for any high-risk or prohibited result </w:t>
      </w:r>
      <w:r>
        <w:rPr>
          <w:b/>
        </w:rPr>
        <w:t xml:space="preserve">XW-020</w:t>
      </w:r>
    </w:p>
    <w:p>
      <w:pPr>
        <w:spacing w:after="60"/>
        <w:ind w:left="720" w:hanging="360"/>
      </w:pPr>
      <w:r>
        <w:t xml:space="preserve">11.</w:t>
      </w:r>
      <w:r>
        <w:tab/>
      </w:r>
      <w:r>
        <w:t xml:space="preserve">Set a re-review date, and re-run intake on any change of use </w:t>
      </w:r>
      <w:r>
        <w:rPr>
          <w:b/>
        </w:rPr>
        <w:t xml:space="preserve">XW-021</w:t>
      </w:r>
    </w:p>
    <w:p>
      <w:pPr>
        <w:spacing w:after="60"/>
        <w:ind w:left="720" w:hanging="360"/>
      </w:pPr>
      <w:r>
        <w:t xml:space="preserve">12.</w:t>
      </w:r>
      <w:r>
        <w:tab/>
      </w:r>
      <w:r>
        <w:t xml:space="preserve">Confirm any AI tool subscription or purchase came through the acquisition gate (</w:t>
      </w:r>
      <w:r>
        <w:t xml:space="preserve">Acquisition gate checklist</w:t>
      </w:r>
      <w:r>
        <w:t xml:space="preserve">), and send it to intake if it did not </w:t>
      </w:r>
      <w:r>
        <w:rPr>
          <w:b/>
        </w:rPr>
        <w:t xml:space="preserve">XW-009</w:t>
      </w:r>
      <w:r>
        <w:t xml:space="preserve"> </w:t>
      </w:r>
      <w:r>
        <w:rPr>
          <w:b/>
        </w:rPr>
        <w:t xml:space="preserve">XW-021</w:t>
      </w:r>
    </w:p>
    <w:p>
      <w:pPr>
        <w:spacing w:after="60"/>
        <w:ind w:left="720" w:hanging="360"/>
      </w:pPr>
      <w:r>
        <w:t xml:space="preserve">13.</w:t>
      </w:r>
      <w:r>
        <w:tab/>
      </w:r>
      <w:r>
        <w:t xml:space="preserve">Check spend outside procurement, such as expense cards and department purchases, for AI-enabled tools, and run intake on each one found </w:t>
      </w:r>
      <w:r>
        <w:rPr>
          <w:b/>
        </w:rPr>
        <w:t xml:space="preserve">XW-012</w:t>
      </w:r>
      <w:r>
        <w:t xml:space="preserve"> </w:t>
      </w:r>
      <w:r>
        <w:rPr>
          <w:b/>
        </w:rPr>
        <w:t xml:space="preserve">XW-022</w:t>
      </w:r>
    </w:p>
    <w:p>
      <w:pPr>
        <w:spacing w:after="60"/>
        <w:ind w:left="720" w:hanging="360"/>
      </w:pPr>
      <w:r>
        <w:t xml:space="preserve">14.</w:t>
      </w:r>
      <w:r>
        <w:tab/>
      </w:r>
      <w:r>
        <w:t xml:space="preserve">Keep an approved-AI-tools register of tools that passed intake, so staff can check it before buying </w:t>
      </w:r>
      <w:r>
        <w:rPr>
          <w:b/>
        </w:rPr>
        <w:t xml:space="preserve">XW-022</w:t>
      </w:r>
    </w:p>
    <w:p>
      <w:pPr>
        <w:pStyle w:val="Heading2"/>
      </w:pPr>
      <w:r>
        <w:t xml:space="preserve">Evidence to retain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restated use case, including data used, personal data, and provenance.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risk tier assigned and the reasoning behind it.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list of required controls for that tier.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supplier and model-provider assessment.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AI inventory record.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approval decision, the approver, and any legal review carried out.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re-review date set.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acquisition gate result, the spend-outside-procurement check, and the approved-AI-tools register.</w:t>
      </w:r>
    </w:p>
    <w:p>
      <w:pPr>
        <w:pStyle w:val="Heading2"/>
      </w:pPr>
      <w:r>
        <w:t xml:space="preserve">Related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Governance framework crosswalk</w:t>
      </w:r>
      <w:r>
        <w:t xml:space="preserve"> (</w:t>
      </w:r>
      <w:r>
        <w:rPr>
          <w:rFonts w:ascii="Consolas" w:hAnsi="Consolas"/>
        </w:rPr>
        <w:t xml:space="preserve">crosswalk</w:t>
      </w:r>
      <w:r>
        <w:t xml:space="preserve">) — supplies the framework rows this intake's controls and tier map to.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ITAM maturity check</w:t>
      </w:r>
      <w:r>
        <w:t xml:space="preserve"> (</w:t>
      </w:r>
      <w:r>
        <w:rPr>
          <w:rFonts w:ascii="Consolas" w:hAnsi="Consolas"/>
        </w:rPr>
        <w:t xml:space="preserve">itam-maturity</w:t>
      </w:r>
      <w:r>
        <w:t xml:space="preserve">) — its inventory and lifecycle questions extend to AI systems entering the estate through this intake.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Application rationalization</w:t>
      </w:r>
      <w:r>
        <w:t xml:space="preserve"> (</w:t>
      </w:r>
      <w:r>
        <w:rPr>
          <w:rFonts w:ascii="Consolas" w:hAnsi="Consolas"/>
        </w:rPr>
        <w:t xml:space="preserve">rationalization</w:t>
      </w:r>
      <w:r>
        <w:t xml:space="preserve">) — takes over an AI system once it's on the inventory, to decide whether it's still worth keeping.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Access review pack</w:t>
      </w:r>
      <w:r>
        <w:t xml:space="preserve"> (</w:t>
      </w:r>
      <w:r>
        <w:rPr>
          <w:rFonts w:ascii="Consolas" w:hAnsi="Consolas"/>
        </w:rPr>
        <w:t xml:space="preserve">access-review</w:t>
      </w:r>
      <w:r>
        <w:t xml:space="preserve">) — reviews who can use or administer an AI system once this intake has approved it.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Stand up a governance program</w:t>
      </w:r>
      <w:r>
        <w:t xml:space="preserve"> (</w:t>
      </w:r>
      <w:r>
        <w:rPr>
          <w:rFonts w:ascii="Consolas" w:hAnsi="Consolas"/>
        </w:rPr>
        <w:t xml:space="preserve">program-setup</w:t>
      </w:r>
      <w:r>
        <w:t xml:space="preserve">) — stands up the sponsor and AI governance lead role this intake reports its decisions to.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qFormat/>
    <w:pPr>
      <w:keepNext/>
      <w:spacing w:before="0" w:after="120"/>
    </w:pPr>
    <w:rPr>
      <w:b/>
      <w:sz w:val="44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/>
      <w:spacing w:before="280" w:after="120"/>
      <w:outlineLvl w:val="2"/>
    </w:pPr>
    <w:rPr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80" w:after="120"/>
      <w:outlineLvl w:val="3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