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624CF9" w14:textId="77777777" w:rsidR="002A1C85" w:rsidRDefault="001217C9">
      <w:pPr>
        <w:pStyle w:val="10"/>
        <w:widowControl w:val="0"/>
        <w:spacing w:line="360" w:lineRule="auto"/>
        <w:jc w:val="both"/>
        <w:rPr>
          <w:rFonts w:ascii="新細明體" w:eastAsia="新細明體" w:hAnsi="新細明體" w:cs="新細明體"/>
          <w:color w:val="FF0000"/>
          <w:sz w:val="24"/>
          <w:szCs w:val="24"/>
        </w:rPr>
      </w:pPr>
      <w:r>
        <w:rPr>
          <w:rFonts w:ascii="Kinnari" w:eastAsia="Kinnari" w:hAnsi="Kinnari" w:cs="Kinnari"/>
          <w:color w:val="FF0000"/>
          <w:sz w:val="24"/>
          <w:szCs w:val="24"/>
        </w:rPr>
        <w:t>探討如何建立物種保育優先順序系統</w:t>
      </w:r>
    </w:p>
    <w:p w14:paraId="002FAD59" w14:textId="77777777" w:rsidR="002A1C85" w:rsidRDefault="001217C9">
      <w:pPr>
        <w:pStyle w:val="10"/>
        <w:widowControl w:val="0"/>
        <w:spacing w:line="360" w:lineRule="auto"/>
        <w:jc w:val="both"/>
        <w:rPr>
          <w:rFonts w:ascii="Kinnari" w:eastAsia="Kinnari" w:hAnsi="Kinnari" w:cs="Kinnari"/>
          <w:color w:val="FF0000"/>
          <w:sz w:val="24"/>
          <w:szCs w:val="24"/>
        </w:rPr>
      </w:pPr>
      <w:r>
        <w:rPr>
          <w:rFonts w:ascii="Kinnari" w:eastAsia="Kinnari" w:hAnsi="Kinnari" w:cs="Kinnari"/>
          <w:color w:val="FF0000"/>
          <w:sz w:val="24"/>
          <w:szCs w:val="24"/>
        </w:rPr>
        <w:t>How t</w:t>
      </w:r>
      <w:r>
        <w:rPr>
          <w:rFonts w:ascii="Kinnari" w:eastAsia="Kinnari" w:hAnsi="Kinnari" w:cs="Kinnari"/>
          <w:color w:val="FF0000"/>
          <w:sz w:val="24"/>
          <w:szCs w:val="24"/>
          <w:highlight w:val="yellow"/>
        </w:rPr>
        <w:t>o construct</w:t>
      </w:r>
      <w:r>
        <w:rPr>
          <w:rFonts w:ascii="Kinnari" w:eastAsia="Kinnari" w:hAnsi="Kinnari" w:cs="Kinnari"/>
          <w:color w:val="FF0000"/>
          <w:sz w:val="24"/>
          <w:szCs w:val="24"/>
        </w:rPr>
        <w:t xml:space="preserve"> a species conservation prioritizing system</w:t>
      </w:r>
      <w:r>
        <w:rPr>
          <w:rFonts w:ascii="新細明體" w:eastAsia="新細明體" w:hAnsi="新細明體" w:cs="新細明體"/>
          <w:color w:val="FF0000"/>
          <w:sz w:val="24"/>
          <w:szCs w:val="24"/>
        </w:rPr>
        <w:t xml:space="preserve"> (改標題?)</w:t>
      </w:r>
    </w:p>
    <w:p w14:paraId="4019EE59" w14:textId="77777777" w:rsidR="002A1C85" w:rsidRDefault="002A1C85">
      <w:pPr>
        <w:pStyle w:val="10"/>
        <w:widowControl w:val="0"/>
        <w:spacing w:line="360" w:lineRule="auto"/>
        <w:rPr>
          <w:rFonts w:ascii="Kinnari" w:eastAsia="Kinnari" w:hAnsi="Kinnari" w:cs="Kinnari"/>
          <w:color w:val="00000A"/>
          <w:sz w:val="24"/>
          <w:szCs w:val="24"/>
        </w:rPr>
      </w:pPr>
    </w:p>
    <w:p w14:paraId="3DD99CF5"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&lt; 前言 &gt;</w:t>
      </w:r>
    </w:p>
    <w:p w14:paraId="606735F3"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種種跡象顯示，第六次大滅絕正在發生中。科學的證據提到，</w:t>
      </w:r>
      <w:commentRangeStart w:id="0"/>
      <w:r>
        <w:rPr>
          <w:rFonts w:ascii="Calibri" w:eastAsia="Calibri" w:hAnsi="Calibri" w:cs="Calibri"/>
          <w:color w:val="00000A"/>
          <w:sz w:val="24"/>
          <w:szCs w:val="24"/>
        </w:rPr>
        <w:t>人類世(Anthropocene)</w:t>
      </w:r>
      <w:commentRangeEnd w:id="0"/>
      <w:r w:rsidR="0093547B">
        <w:rPr>
          <w:rStyle w:val="ad"/>
        </w:rPr>
        <w:commentReference w:id="0"/>
      </w:r>
      <w:r>
        <w:rPr>
          <w:rFonts w:ascii="Calibri" w:eastAsia="Calibri" w:hAnsi="Calibri" w:cs="Calibri"/>
          <w:color w:val="00000A"/>
          <w:sz w:val="24"/>
          <w:szCs w:val="24"/>
        </w:rPr>
        <w:t>的到來，嚴重影響所有的物種，現今物種的滅絕速率甚至高於前五次大滅絕的滅絕速率10至100倍(Pimm 1995、Waters 2016)。與此同時，威脅生物多樣性的因子，如:棲地破壞、外來種入侵、過度捕獵、及環境污染等，隨著全球人口的指數成長也逐日增強。另一方面，儘管現今的科技日新月異，人類依然無法不依賴其他物種獨立地存在於這個星球上，在食衣住行育樂各層面的需求面上，仍需要許多不同種類的生物與資源支持。因此，在這物種快速滅絕的時代，如何可以維護這些寶貴的生物資源，是保育生物學上十分重要的課題。</w:t>
      </w:r>
    </w:p>
    <w:p w14:paraId="728D8809" w14:textId="77777777" w:rsidR="002A1C85" w:rsidRDefault="002A1C85">
      <w:pPr>
        <w:pStyle w:val="10"/>
        <w:widowControl w:val="0"/>
        <w:spacing w:line="360" w:lineRule="auto"/>
        <w:rPr>
          <w:rFonts w:ascii="Calibri" w:eastAsia="Calibri" w:hAnsi="Calibri" w:cs="Calibri"/>
          <w:color w:val="00000A"/>
          <w:sz w:val="24"/>
          <w:szCs w:val="24"/>
        </w:rPr>
      </w:pPr>
    </w:p>
    <w:p w14:paraId="3AA8BC87"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如同聖經中的故事提到，諾亞在大洪水侵襲前建立了方舟，因此保護了世上的所有物種，如今也該是我們試圖建立這艘名為「保育」的方舟，以維護這些寶貴的生物。然而，神話終究只是神話，一艘能夠乘載現今所有的受脅物種的方舟是不可能被建造出來的。現實層面上來看，</w:t>
      </w:r>
      <w:r w:rsidR="0093547B">
        <w:rPr>
          <w:rFonts w:ascii="Calibri" w:eastAsia="Calibri" w:hAnsi="Calibri" w:cs="Calibri"/>
          <w:color w:val="00000A"/>
          <w:sz w:val="24"/>
          <w:szCs w:val="24"/>
        </w:rPr>
        <w:t>無法投注所有的</w:t>
      </w:r>
      <w:r>
        <w:rPr>
          <w:rFonts w:ascii="Calibri" w:eastAsia="Calibri" w:hAnsi="Calibri" w:cs="Calibri"/>
          <w:color w:val="00000A"/>
          <w:sz w:val="24"/>
          <w:szCs w:val="24"/>
        </w:rPr>
        <w:t>資源在保育上面，</w:t>
      </w:r>
      <w:r w:rsidR="0093547B">
        <w:rPr>
          <w:rFonts w:ascii="Calibri" w:eastAsia="Calibri" w:hAnsi="Calibri" w:cs="Calibri"/>
          <w:color w:val="00000A"/>
          <w:sz w:val="24"/>
          <w:szCs w:val="24"/>
        </w:rPr>
        <w:t>因而</w:t>
      </w:r>
      <w:r>
        <w:rPr>
          <w:rFonts w:ascii="Calibri" w:eastAsia="Calibri" w:hAnsi="Calibri" w:cs="Calibri"/>
          <w:color w:val="00000A"/>
          <w:sz w:val="24"/>
          <w:szCs w:val="24"/>
        </w:rPr>
        <w:t>只能針對少數的物種或地區施行保育措施，並且期望達到最大的成效。因此，必須選擇。然而該如何選擇哪些物種或地區要施行保育行動，而</w:t>
      </w:r>
      <w:r>
        <w:rPr>
          <w:rFonts w:ascii="新細明體" w:eastAsia="新細明體" w:hAnsi="新細明體" w:cs="新細明體"/>
          <w:color w:val="00000A"/>
          <w:sz w:val="24"/>
          <w:szCs w:val="24"/>
        </w:rPr>
        <w:t>哪</w:t>
      </w:r>
      <w:r>
        <w:rPr>
          <w:rFonts w:ascii="Calibri" w:eastAsia="Calibri" w:hAnsi="Calibri" w:cs="Calibri"/>
          <w:color w:val="00000A"/>
          <w:sz w:val="24"/>
          <w:szCs w:val="24"/>
        </w:rPr>
        <w:t>些物種則是必須忍痛放棄，是個難以回答的「大哉問」。</w:t>
      </w:r>
      <w:r>
        <w:rPr>
          <w:rFonts w:ascii="Calibri" w:eastAsia="Calibri" w:hAnsi="Calibri" w:cs="Calibri"/>
          <w:color w:val="00000A"/>
          <w:sz w:val="24"/>
          <w:szCs w:val="24"/>
        </w:rPr>
        <w:br/>
      </w:r>
    </w:p>
    <w:p w14:paraId="7655593C" w14:textId="77777777" w:rsidR="002A1C85" w:rsidRDefault="001217C9">
      <w:pPr>
        <w:pStyle w:val="10"/>
        <w:widowControl w:val="0"/>
        <w:spacing w:line="360" w:lineRule="auto"/>
        <w:rPr>
          <w:rFonts w:ascii="新細明體" w:eastAsia="新細明體" w:hAnsi="新細明體" w:cs="新細明體"/>
          <w:color w:val="00000A"/>
          <w:sz w:val="24"/>
          <w:szCs w:val="24"/>
        </w:rPr>
      </w:pPr>
      <w:r>
        <w:rPr>
          <w:rFonts w:ascii="Calibri" w:eastAsia="Calibri" w:hAnsi="Calibri" w:cs="Calibri"/>
          <w:color w:val="00000A"/>
          <w:sz w:val="24"/>
          <w:szCs w:val="24"/>
        </w:rPr>
        <w:t>從受脅物種中，決定哪些該優先進行保育。此類問題，長久以來被西方保育學家稱為「痛苦的選擇」(the agony of choice, Vane-Wright 1991)，又或者為「諾亞的方舟問題」(Noah’s Ark problem, Weitzman 1998)。一直有許多保育學家提出保育優先順序排序系統想要解決這樣的困境，但是這些系統通常會面臨兩類大的</w:t>
      </w:r>
      <w:r>
        <w:rPr>
          <w:rFonts w:ascii="Calibri" w:eastAsia="Calibri" w:hAnsi="Calibri" w:cs="Calibri"/>
          <w:color w:val="00000A"/>
          <w:sz w:val="24"/>
          <w:szCs w:val="24"/>
        </w:rPr>
        <w:lastRenderedPageBreak/>
        <w:t>問題，一為資料需求簡單可但是卻過於主觀、另一為客觀但是所需資料難以獲得，總體來說，就是缺少一套資料需求既簡易、又具有充足的客觀性，且可以直接遵循的實行架構，來協助相關人員按照步驟建立起一套保育優先順序排序系統。</w:t>
      </w:r>
    </w:p>
    <w:p w14:paraId="434D5CF7" w14:textId="77777777" w:rsidR="002A1C85" w:rsidRDefault="002A1C85">
      <w:pPr>
        <w:pStyle w:val="10"/>
        <w:widowControl w:val="0"/>
        <w:spacing w:line="360" w:lineRule="auto"/>
        <w:rPr>
          <w:rFonts w:ascii="Calibri" w:eastAsia="Calibri" w:hAnsi="Calibri" w:cs="Calibri"/>
          <w:color w:val="00000A"/>
          <w:sz w:val="24"/>
          <w:szCs w:val="24"/>
        </w:rPr>
      </w:pPr>
    </w:p>
    <w:p w14:paraId="09F4477A" w14:textId="77777777" w:rsidR="002A1C85" w:rsidRDefault="001217C9">
      <w:pPr>
        <w:pStyle w:val="10"/>
        <w:widowControl w:val="0"/>
        <w:spacing w:line="360" w:lineRule="auto"/>
        <w:rPr>
          <w:rFonts w:ascii="新細明體" w:eastAsia="新細明體" w:hAnsi="新細明體" w:cs="新細明體"/>
          <w:color w:val="00000A"/>
          <w:sz w:val="24"/>
          <w:szCs w:val="24"/>
        </w:rPr>
      </w:pPr>
      <w:r>
        <w:rPr>
          <w:rFonts w:ascii="Calibri" w:eastAsia="Calibri" w:hAnsi="Calibri" w:cs="Calibri"/>
          <w:color w:val="00000A"/>
          <w:sz w:val="24"/>
          <w:szCs w:val="24"/>
        </w:rPr>
        <w:t>本文試圖為方舟問題提出一套可實行的架構，讓相關保育從事人員可以參考使用，並根據這套架構建構出符合簡單且客觀的原則，也能符合實際保育需求的優先順序排序系統，以便於相關單位可以有效地規劃更進一步的相關保育行動，合理地應用寶貴的資源。</w:t>
      </w:r>
    </w:p>
    <w:p w14:paraId="7B66BB54" w14:textId="77777777" w:rsidR="002A1C85" w:rsidRDefault="002A1C85">
      <w:pPr>
        <w:pStyle w:val="10"/>
        <w:widowControl w:val="0"/>
        <w:spacing w:line="360" w:lineRule="auto"/>
        <w:rPr>
          <w:rFonts w:ascii="Calibri" w:eastAsia="Calibri" w:hAnsi="Calibri" w:cs="Calibri"/>
          <w:color w:val="00000A"/>
          <w:sz w:val="24"/>
          <w:szCs w:val="24"/>
        </w:rPr>
      </w:pPr>
    </w:p>
    <w:p w14:paraId="2F2D8592" w14:textId="77777777" w:rsidR="002A1C85" w:rsidRPr="00FE0385" w:rsidRDefault="001217C9">
      <w:pPr>
        <w:pStyle w:val="10"/>
        <w:widowControl w:val="0"/>
        <w:spacing w:line="360" w:lineRule="auto"/>
        <w:rPr>
          <w:rFonts w:ascii="新細明體" w:hAnsi="新細明體" w:cs="新細明體"/>
          <w:color w:val="00000A"/>
          <w:sz w:val="24"/>
          <w:szCs w:val="24"/>
        </w:rPr>
      </w:pPr>
      <w:r>
        <w:rPr>
          <w:rFonts w:ascii="Calibri" w:eastAsia="Calibri" w:hAnsi="Calibri" w:cs="Calibri"/>
          <w:color w:val="00000A"/>
          <w:sz w:val="24"/>
          <w:szCs w:val="24"/>
        </w:rPr>
        <w:t>&lt;建構保育優先順序排序系統&gt;</w:t>
      </w:r>
    </w:p>
    <w:p w14:paraId="0069F5DA"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當一保育單位要進行一地區內全面性的物種保育行動規劃時，其大致的流程如下圖(一)所示，第一，應先進行區域內全面性的物種受脅狀況評估，建立地區內實際受脅的物種清單，並依照其對應的狀況確認其受脅等級(如國際自然保育聯盟IUCN的紅皮書受脅與評估系統的等級)；接著考量各層面的因素，如物種本身的受脅程度、保育成本、生物特性、棲地環境特徵，以及該物種的社會大眾關注度、生態系重要性、復原潛力、物種利用價值等等，建立受脅物種的保育優先順序；</w:t>
      </w:r>
      <w:r w:rsidR="0093547B">
        <w:rPr>
          <w:rFonts w:ascii="Calibri" w:eastAsia="Calibri" w:hAnsi="Calibri" w:cs="Calibri"/>
          <w:color w:val="00000A"/>
          <w:sz w:val="24"/>
          <w:szCs w:val="24"/>
        </w:rPr>
        <w:t>確認</w:t>
      </w:r>
      <w:commentRangeStart w:id="2"/>
      <w:r>
        <w:rPr>
          <w:rFonts w:ascii="Calibri" w:eastAsia="Calibri" w:hAnsi="Calibri" w:cs="Calibri"/>
          <w:color w:val="00000A"/>
          <w:sz w:val="24"/>
          <w:szCs w:val="24"/>
        </w:rPr>
        <w:t>保育優先順序可以讓保育單位</w:t>
      </w:r>
      <w:r w:rsidR="0093547B">
        <w:rPr>
          <w:rFonts w:ascii="Calibri" w:eastAsia="Calibri" w:hAnsi="Calibri" w:cs="Calibri"/>
          <w:color w:val="00000A"/>
          <w:sz w:val="24"/>
          <w:szCs w:val="24"/>
        </w:rPr>
        <w:t>有一個參考的依據，</w:t>
      </w:r>
      <w:r>
        <w:rPr>
          <w:rFonts w:ascii="Calibri" w:eastAsia="Calibri" w:hAnsi="Calibri" w:cs="Calibri"/>
          <w:color w:val="00000A"/>
          <w:sz w:val="24"/>
          <w:szCs w:val="24"/>
        </w:rPr>
        <w:t>針對</w:t>
      </w:r>
      <w:r w:rsidR="0093547B">
        <w:rPr>
          <w:rFonts w:ascii="Calibri" w:eastAsia="Calibri" w:hAnsi="Calibri" w:cs="Calibri"/>
          <w:color w:val="00000A"/>
          <w:sz w:val="24"/>
          <w:szCs w:val="24"/>
        </w:rPr>
        <w:t>優先</w:t>
      </w:r>
      <w:r>
        <w:rPr>
          <w:rFonts w:ascii="Calibri" w:eastAsia="Calibri" w:hAnsi="Calibri" w:cs="Calibri"/>
          <w:color w:val="00000A"/>
          <w:sz w:val="24"/>
          <w:szCs w:val="24"/>
        </w:rPr>
        <w:t>序位較高的物種</w:t>
      </w:r>
      <w:commentRangeEnd w:id="2"/>
      <w:r>
        <w:commentReference w:id="2"/>
      </w:r>
      <w:r>
        <w:rPr>
          <w:rFonts w:ascii="Calibri" w:eastAsia="Calibri" w:hAnsi="Calibri" w:cs="Calibri"/>
          <w:color w:val="00000A"/>
          <w:sz w:val="24"/>
          <w:szCs w:val="24"/>
        </w:rPr>
        <w:t>，在人力及預算允許下，規劃</w:t>
      </w:r>
      <w:r w:rsidR="0093547B">
        <w:rPr>
          <w:rFonts w:ascii="Calibri" w:hAnsi="Calibri" w:cs="Calibri" w:hint="eastAsia"/>
          <w:color w:val="00000A"/>
          <w:sz w:val="24"/>
          <w:szCs w:val="24"/>
        </w:rPr>
        <w:t>其</w:t>
      </w:r>
      <w:r>
        <w:rPr>
          <w:rFonts w:ascii="Calibri" w:eastAsia="Calibri" w:hAnsi="Calibri" w:cs="Calibri"/>
          <w:color w:val="00000A"/>
          <w:sz w:val="24"/>
          <w:szCs w:val="24"/>
        </w:rPr>
        <w:t>保育行動計畫，</w:t>
      </w:r>
      <w:r w:rsidR="002A1C85">
        <w:rPr>
          <w:rFonts w:ascii="Calibri" w:eastAsia="Calibri" w:hAnsi="Calibri" w:cs="Calibri"/>
          <w:color w:val="00000A"/>
          <w:sz w:val="24"/>
          <w:szCs w:val="24"/>
        </w:rPr>
        <w:t>也可以選擇其中幾個種類規劃執行實際的</w:t>
      </w:r>
      <w:r>
        <w:rPr>
          <w:rFonts w:ascii="Calibri" w:eastAsia="Calibri" w:hAnsi="Calibri" w:cs="Calibri"/>
          <w:color w:val="00000A"/>
          <w:sz w:val="24"/>
          <w:szCs w:val="24"/>
        </w:rPr>
        <w:t>保育行動，</w:t>
      </w:r>
      <w:r w:rsidR="002A1C85">
        <w:rPr>
          <w:rFonts w:ascii="Calibri" w:eastAsia="Calibri" w:hAnsi="Calibri" w:cs="Calibri"/>
          <w:color w:val="00000A"/>
          <w:sz w:val="24"/>
          <w:szCs w:val="24"/>
        </w:rPr>
        <w:t>包含</w:t>
      </w:r>
      <w:r>
        <w:rPr>
          <w:rFonts w:ascii="Calibri" w:eastAsia="Calibri" w:hAnsi="Calibri" w:cs="Calibri"/>
          <w:color w:val="00000A"/>
          <w:sz w:val="24"/>
          <w:szCs w:val="24"/>
        </w:rPr>
        <w:t>定期監測</w:t>
      </w:r>
      <w:r w:rsidR="0093547B">
        <w:rPr>
          <w:rFonts w:ascii="Calibri" w:eastAsia="Calibri" w:hAnsi="Calibri" w:cs="Calibri"/>
          <w:color w:val="00000A"/>
          <w:sz w:val="24"/>
          <w:szCs w:val="24"/>
        </w:rPr>
        <w:t>計畫</w:t>
      </w:r>
      <w:r>
        <w:rPr>
          <w:rFonts w:ascii="Calibri" w:eastAsia="Calibri" w:hAnsi="Calibri" w:cs="Calibri"/>
          <w:color w:val="00000A"/>
          <w:sz w:val="24"/>
          <w:szCs w:val="24"/>
        </w:rPr>
        <w:t>，以確認保育工作投入後的成效。此流程實際上就是一套篩選機制，從數量較龐大的受脅物種清單逐次篩選至最後實際執行保育行動的數個物種。</w:t>
      </w:r>
    </w:p>
    <w:p w14:paraId="7C096E6E" w14:textId="77777777" w:rsidR="002A1C85" w:rsidRDefault="002A1C85">
      <w:pPr>
        <w:pStyle w:val="10"/>
        <w:widowControl w:val="0"/>
        <w:spacing w:line="360" w:lineRule="auto"/>
        <w:rPr>
          <w:rFonts w:ascii="Calibri" w:eastAsia="Calibri" w:hAnsi="Calibri" w:cs="Calibri"/>
          <w:color w:val="00000A"/>
          <w:sz w:val="24"/>
          <w:szCs w:val="24"/>
        </w:rPr>
      </w:pPr>
    </w:p>
    <w:p w14:paraId="10DE61AF" w14:textId="77777777" w:rsidR="002A1C85" w:rsidRDefault="001217C9">
      <w:pPr>
        <w:pStyle w:val="10"/>
        <w:widowControl w:val="0"/>
        <w:spacing w:line="360" w:lineRule="auto"/>
        <w:rPr>
          <w:rFonts w:ascii="新細明體" w:eastAsia="新細明體" w:hAnsi="新細明體" w:cs="新細明體"/>
          <w:color w:val="00000A"/>
          <w:sz w:val="24"/>
          <w:szCs w:val="24"/>
        </w:rPr>
      </w:pPr>
      <w:r>
        <w:rPr>
          <w:noProof/>
        </w:rPr>
        <w:lastRenderedPageBreak/>
        <w:drawing>
          <wp:inline distT="0" distB="0" distL="114300" distR="114300" wp14:anchorId="0B50C72C" wp14:editId="34F58A79">
            <wp:extent cx="5275580" cy="1320165"/>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cstate="print"/>
                    <a:srcRect/>
                    <a:stretch>
                      <a:fillRect/>
                    </a:stretch>
                  </pic:blipFill>
                  <pic:spPr>
                    <a:xfrm>
                      <a:off x="0" y="0"/>
                      <a:ext cx="5275580" cy="1320165"/>
                    </a:xfrm>
                    <a:prstGeom prst="rect">
                      <a:avLst/>
                    </a:prstGeom>
                    <a:ln/>
                  </pic:spPr>
                </pic:pic>
              </a:graphicData>
            </a:graphic>
          </wp:inline>
        </w:drawing>
      </w:r>
    </w:p>
    <w:p w14:paraId="3E5631D8" w14:textId="77777777" w:rsidR="002A1C85" w:rsidRDefault="002A1C85">
      <w:pPr>
        <w:pStyle w:val="10"/>
        <w:widowControl w:val="0"/>
        <w:spacing w:line="360" w:lineRule="auto"/>
        <w:rPr>
          <w:rFonts w:ascii="Calibri" w:eastAsia="Calibri" w:hAnsi="Calibri" w:cs="Calibri"/>
          <w:color w:val="00000A"/>
          <w:sz w:val="24"/>
          <w:szCs w:val="24"/>
        </w:rPr>
      </w:pPr>
    </w:p>
    <w:p w14:paraId="0BC2F8F3" w14:textId="77777777" w:rsidR="002A1C85" w:rsidRDefault="001217C9">
      <w:pPr>
        <w:pStyle w:val="10"/>
        <w:widowControl w:val="0"/>
        <w:spacing w:line="360" w:lineRule="auto"/>
        <w:rPr>
          <w:rFonts w:ascii="新細明體" w:eastAsia="新細明體" w:hAnsi="新細明體" w:cs="新細明體"/>
          <w:color w:val="00000A"/>
          <w:sz w:val="24"/>
          <w:szCs w:val="24"/>
        </w:rPr>
      </w:pPr>
      <w:r>
        <w:rPr>
          <w:rFonts w:ascii="Calibri" w:eastAsia="Calibri" w:hAnsi="Calibri" w:cs="Calibri"/>
          <w:color w:val="00000A"/>
          <w:sz w:val="24"/>
          <w:szCs w:val="24"/>
        </w:rPr>
        <w:t>其中，建構物種保育優先順序是規劃整個類群保育行動計劃的先行評估，必須先決定哪些物種、地區、或事項是必須優先執行，而那些則是晚點執行或者不需要執行，才能合理、有效地應用有限的經費與資源，達到保育的目的。</w:t>
      </w:r>
    </w:p>
    <w:p w14:paraId="51D52EB6" w14:textId="77777777" w:rsidR="002A1C85" w:rsidRDefault="002A1C85">
      <w:pPr>
        <w:pStyle w:val="10"/>
        <w:widowControl w:val="0"/>
        <w:spacing w:line="360" w:lineRule="auto"/>
        <w:rPr>
          <w:rFonts w:ascii="Calibri" w:eastAsia="Calibri" w:hAnsi="Calibri" w:cs="Calibri"/>
          <w:color w:val="00000A"/>
          <w:sz w:val="24"/>
          <w:szCs w:val="24"/>
        </w:rPr>
      </w:pPr>
    </w:p>
    <w:p w14:paraId="7A6DCAF0" w14:textId="77777777" w:rsidR="002A1C85" w:rsidRDefault="001217C9">
      <w:pPr>
        <w:pStyle w:val="10"/>
        <w:widowControl w:val="0"/>
        <w:spacing w:line="360" w:lineRule="auto"/>
        <w:rPr>
          <w:rFonts w:ascii="新細明體" w:eastAsia="新細明體" w:hAnsi="新細明體" w:cs="新細明體"/>
          <w:sz w:val="24"/>
          <w:szCs w:val="24"/>
          <w:highlight w:val="yellow"/>
        </w:rPr>
      </w:pPr>
      <w:r>
        <w:rPr>
          <w:rFonts w:ascii="Calibri" w:eastAsia="Calibri" w:hAnsi="Calibri" w:cs="Calibri"/>
          <w:color w:val="00000A"/>
          <w:sz w:val="24"/>
          <w:szCs w:val="24"/>
        </w:rPr>
        <w:t>物種保育優先順序</w:t>
      </w:r>
      <w:r>
        <w:rPr>
          <w:rFonts w:ascii="新細明體" w:eastAsia="新細明體" w:hAnsi="新細明體" w:cs="新細明體"/>
          <w:color w:val="00000A"/>
          <w:sz w:val="24"/>
          <w:szCs w:val="24"/>
        </w:rPr>
        <w:t>(諾亞的方舟問題)的</w:t>
      </w:r>
      <w:r>
        <w:rPr>
          <w:rFonts w:ascii="Calibri" w:eastAsia="Calibri" w:hAnsi="Calibri" w:cs="Calibri"/>
          <w:color w:val="00000A"/>
          <w:sz w:val="24"/>
          <w:szCs w:val="24"/>
        </w:rPr>
        <w:t>概念如</w:t>
      </w:r>
      <w:r>
        <w:rPr>
          <w:rFonts w:ascii="新細明體" w:eastAsia="新細明體" w:hAnsi="新細明體" w:cs="新細明體"/>
          <w:color w:val="00000A"/>
          <w:sz w:val="24"/>
          <w:szCs w:val="24"/>
        </w:rPr>
        <w:t>下</w:t>
      </w:r>
      <w:r>
        <w:rPr>
          <w:rFonts w:ascii="Calibri" w:eastAsia="Calibri" w:hAnsi="Calibri" w:cs="Calibri"/>
          <w:color w:val="00000A"/>
          <w:sz w:val="24"/>
          <w:szCs w:val="24"/>
        </w:rPr>
        <w:t>圖(</w:t>
      </w:r>
      <w:r>
        <w:rPr>
          <w:rFonts w:ascii="新細明體" w:eastAsia="新細明體" w:hAnsi="新細明體" w:cs="新細明體"/>
          <w:color w:val="00000A"/>
          <w:sz w:val="24"/>
          <w:szCs w:val="24"/>
        </w:rPr>
        <w:t>二</w:t>
      </w:r>
      <w:r>
        <w:rPr>
          <w:rFonts w:ascii="Calibri" w:eastAsia="Calibri" w:hAnsi="Calibri" w:cs="Calibri"/>
          <w:color w:val="00000A"/>
          <w:sz w:val="24"/>
          <w:szCs w:val="24"/>
        </w:rPr>
        <w:t>):從具有N個物種的受脅物種清單中，估算出每個物種i的保育價值V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 xml:space="preserve"> (Value)，從中挑出K個我們能夠對其施行保育行動的物種，假設每挑出一物種i時，必須支付相對應的成本為C</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 xml:space="preserve"> (Cost)，成本的總和必須小於總預算B</w:t>
      </w:r>
      <w:r>
        <w:rPr>
          <w:rFonts w:ascii="新細明體" w:eastAsia="新細明體" w:hAnsi="新細明體" w:cs="新細明體"/>
          <w:color w:val="00000A"/>
          <w:sz w:val="24"/>
          <w:szCs w:val="24"/>
        </w:rPr>
        <w:t xml:space="preserve"> </w:t>
      </w:r>
      <w:r>
        <w:rPr>
          <w:rFonts w:ascii="Calibri" w:eastAsia="Calibri" w:hAnsi="Calibri" w:cs="Calibri"/>
          <w:color w:val="00000A"/>
          <w:sz w:val="24"/>
          <w:szCs w:val="24"/>
        </w:rPr>
        <w:t>(以公式表示為：ΣC</w:t>
      </w:r>
      <w:r>
        <w:rPr>
          <w:rFonts w:ascii="Calibri" w:eastAsia="Calibri" w:hAnsi="Calibri" w:cs="Calibri"/>
          <w:color w:val="00000A"/>
          <w:sz w:val="24"/>
          <w:szCs w:val="24"/>
          <w:vertAlign w:val="subscript"/>
        </w:rPr>
        <w:t>i</w:t>
      </w:r>
      <w:r>
        <w:rPr>
          <w:noProof/>
        </w:rPr>
        <w:drawing>
          <wp:inline distT="0" distB="0" distL="114300" distR="114300" wp14:anchorId="4ACE133B" wp14:editId="5EC49F04">
            <wp:extent cx="114300" cy="342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a:stretch>
                      <a:fillRect/>
                    </a:stretch>
                  </pic:blipFill>
                  <pic:spPr>
                    <a:xfrm>
                      <a:off x="0" y="0"/>
                      <a:ext cx="114300" cy="342900"/>
                    </a:xfrm>
                    <a:prstGeom prst="rect">
                      <a:avLst/>
                    </a:prstGeom>
                    <a:ln/>
                  </pic:spPr>
                </pic:pic>
              </a:graphicData>
            </a:graphic>
          </wp:inline>
        </w:drawing>
      </w:r>
      <w:r>
        <w:rPr>
          <w:rFonts w:ascii="Calibri" w:eastAsia="Calibri" w:hAnsi="Calibri" w:cs="Calibri"/>
          <w:color w:val="00000A"/>
          <w:sz w:val="24"/>
          <w:szCs w:val="24"/>
        </w:rPr>
        <w:t>B)，與此同時，我們希望這些預計要實行保育措施的K個物種的保育價值(V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)乘上保育恢復潛力P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 xml:space="preserve"> (Potential)的總和(ΣV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)是最大的。</w:t>
      </w:r>
    </w:p>
    <w:p w14:paraId="610F5CAF" w14:textId="77777777" w:rsidR="002A1C85" w:rsidRDefault="001217C9">
      <w:pPr>
        <w:pStyle w:val="10"/>
        <w:widowControl w:val="0"/>
        <w:spacing w:line="360" w:lineRule="auto"/>
        <w:rPr>
          <w:rFonts w:ascii="Calibri" w:eastAsia="Calibri" w:hAnsi="Calibri" w:cs="Calibri"/>
          <w:color w:val="00000A"/>
          <w:sz w:val="24"/>
          <w:szCs w:val="24"/>
        </w:rPr>
      </w:pPr>
      <w:r>
        <w:rPr>
          <w:noProof/>
        </w:rPr>
        <w:lastRenderedPageBreak/>
        <w:drawing>
          <wp:inline distT="0" distB="0" distL="114300" distR="114300" wp14:anchorId="38153B77" wp14:editId="219703FF">
            <wp:extent cx="5275580" cy="554291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srcRect/>
                    <a:stretch>
                      <a:fillRect/>
                    </a:stretch>
                  </pic:blipFill>
                  <pic:spPr>
                    <a:xfrm>
                      <a:off x="0" y="0"/>
                      <a:ext cx="5275580" cy="5542915"/>
                    </a:xfrm>
                    <a:prstGeom prst="rect">
                      <a:avLst/>
                    </a:prstGeom>
                    <a:ln/>
                  </pic:spPr>
                </pic:pic>
              </a:graphicData>
            </a:graphic>
          </wp:inline>
        </w:drawing>
      </w:r>
    </w:p>
    <w:p w14:paraId="25639D63" w14:textId="77777777" w:rsidR="002A1C85" w:rsidRDefault="002A1C85">
      <w:pPr>
        <w:pStyle w:val="10"/>
        <w:widowControl w:val="0"/>
        <w:spacing w:line="360" w:lineRule="auto"/>
        <w:rPr>
          <w:rFonts w:ascii="Calibri" w:eastAsia="Calibri" w:hAnsi="Calibri" w:cs="Calibri"/>
          <w:color w:val="00000A"/>
          <w:sz w:val="24"/>
          <w:szCs w:val="24"/>
        </w:rPr>
      </w:pPr>
    </w:p>
    <w:p w14:paraId="7999A372"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在科學上，這樣的問題歸屬在決策科學(decision science)的範疇，就前述的內容，在受限於ΣC</w:t>
      </w:r>
      <w:r>
        <w:rPr>
          <w:rFonts w:ascii="Calibri" w:eastAsia="Calibri" w:hAnsi="Calibri" w:cs="Calibri"/>
          <w:color w:val="00000A"/>
          <w:sz w:val="24"/>
          <w:szCs w:val="24"/>
          <w:vertAlign w:val="subscript"/>
        </w:rPr>
        <w:t>i</w:t>
      </w:r>
      <w:r w:rsidR="00FE0385">
        <w:rPr>
          <w:rFonts w:hint="eastAsia"/>
          <w:noProof/>
        </w:rPr>
        <w:t xml:space="preserve"> </w:t>
      </w:r>
      <w:r w:rsidR="00FE0385">
        <w:rPr>
          <w:rFonts w:ascii="新細明體" w:eastAsia="新細明體" w:hAnsi="新細明體" w:hint="eastAsia"/>
          <w:noProof/>
        </w:rPr>
        <w:t>≦</w:t>
      </w:r>
      <w:r w:rsidR="00FE0385">
        <w:rPr>
          <w:rFonts w:hint="eastAsia"/>
          <w:noProof/>
        </w:rPr>
        <w:t xml:space="preserve"> </w:t>
      </w:r>
      <w:r>
        <w:rPr>
          <w:rFonts w:ascii="Calibri" w:eastAsia="Calibri" w:hAnsi="Calibri" w:cs="Calibri"/>
          <w:color w:val="00000A"/>
          <w:sz w:val="24"/>
          <w:szCs w:val="24"/>
        </w:rPr>
        <w:t>B且想要最大化ΣV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的情況下，該從何從N中挑出這K個物種?這樣的問題已經有多位學者，</w:t>
      </w:r>
      <w:commentRangeStart w:id="3"/>
      <w:commentRangeEnd w:id="3"/>
      <w:ins w:id="4" w:author="Cheng-hsiung Yang" w:date="2016-11-24T09:56:00Z">
        <w:r>
          <w:commentReference w:id="3"/>
        </w:r>
        <w:r w:rsidR="002A1C85">
          <w:rPr>
            <w:rFonts w:ascii="Calibri" w:eastAsia="Calibri" w:hAnsi="Calibri" w:cs="Calibri"/>
            <w:color w:val="00000A"/>
            <w:sz w:val="24"/>
            <w:szCs w:val="24"/>
          </w:rPr>
          <w:t>嘗試建立不同的數學模型(？)，並</w:t>
        </w:r>
      </w:ins>
      <w:r>
        <w:rPr>
          <w:rFonts w:ascii="Calibri" w:eastAsia="Calibri" w:hAnsi="Calibri" w:cs="Calibri"/>
          <w:color w:val="00000A"/>
          <w:sz w:val="24"/>
          <w:szCs w:val="24"/>
        </w:rPr>
        <w:t>以不同的方法推導出尋求最佳解的方法(Weitzman 1998、Wilson  2009、Perry 2010等)，這些研究結合保育價值Vi、保育恢復潛力Pi及保育成本Ci定義出保育優先順序Ri(Ranking)，並建立公式</w:t>
      </w:r>
      <w:r w:rsidR="00083536">
        <w:rPr>
          <w:rFonts w:ascii="Calibri" w:hAnsi="Calibri" w:cs="Calibri" w:hint="eastAsia"/>
          <w:color w:val="00000A"/>
          <w:sz w:val="24"/>
          <w:szCs w:val="24"/>
        </w:rPr>
        <w:t>(</w:t>
      </w:r>
      <w:r w:rsidR="00083536">
        <w:rPr>
          <w:rFonts w:ascii="Calibri" w:hAnsi="Calibri" w:cs="Calibri" w:hint="eastAsia"/>
          <w:color w:val="00000A"/>
          <w:sz w:val="24"/>
          <w:szCs w:val="24"/>
        </w:rPr>
        <w:t>如公式</w:t>
      </w:r>
      <w:r w:rsidR="006A2935">
        <w:rPr>
          <w:rFonts w:ascii="Calibri" w:hAnsi="Calibri" w:cs="Calibri" w:hint="eastAsia"/>
          <w:color w:val="00000A"/>
          <w:sz w:val="24"/>
          <w:szCs w:val="24"/>
        </w:rPr>
        <w:t>(</w:t>
      </w:r>
      <w:r w:rsidR="00083536">
        <w:rPr>
          <w:rFonts w:ascii="Calibri" w:hAnsi="Calibri" w:cs="Calibri" w:hint="eastAsia"/>
          <w:color w:val="00000A"/>
          <w:sz w:val="24"/>
          <w:szCs w:val="24"/>
        </w:rPr>
        <w:t>1)</w:t>
      </w:r>
      <w:r w:rsidR="008F62E9">
        <w:rPr>
          <w:rFonts w:ascii="Calibri" w:hAnsi="Calibri" w:cs="Calibri" w:hint="eastAsia"/>
          <w:color w:val="00000A"/>
          <w:sz w:val="24"/>
          <w:szCs w:val="24"/>
        </w:rPr>
        <w:t>)</w:t>
      </w:r>
      <w:r>
        <w:rPr>
          <w:rFonts w:ascii="Calibri" w:eastAsia="Calibri" w:hAnsi="Calibri" w:cs="Calibri"/>
          <w:color w:val="00000A"/>
          <w:sz w:val="24"/>
          <w:szCs w:val="24"/>
        </w:rPr>
        <w:t>。並建議只要可以依循</w:t>
      </w:r>
      <w:r w:rsidR="00083536">
        <w:rPr>
          <w:rFonts w:ascii="Calibri" w:eastAsia="Calibri" w:hAnsi="Calibri" w:cs="Calibri"/>
          <w:color w:val="00000A"/>
          <w:sz w:val="24"/>
          <w:szCs w:val="24"/>
        </w:rPr>
        <w:t>該</w:t>
      </w:r>
      <w:r>
        <w:rPr>
          <w:rFonts w:ascii="Calibri" w:eastAsia="Calibri" w:hAnsi="Calibri" w:cs="Calibri"/>
          <w:color w:val="00000A"/>
          <w:sz w:val="24"/>
          <w:szCs w:val="24"/>
        </w:rPr>
        <w:t>公式，計算出各物種i的保育優先順序R</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，再依據R</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的高低順序開始投注經費實施保育行動，直到預算上限。如此即可最大化ΣV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w:t>
      </w:r>
    </w:p>
    <w:p w14:paraId="16204D5E" w14:textId="77777777" w:rsidR="002A1C85" w:rsidRDefault="00FE1E6E">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noProof/>
          <w:color w:val="00000A"/>
          <w:sz w:val="24"/>
          <w:szCs w:val="24"/>
        </w:rPr>
        <w:lastRenderedPageBreak/>
        <mc:AlternateContent>
          <mc:Choice Requires="wps">
            <w:drawing>
              <wp:inline distT="45720" distB="45720" distL="114300" distR="114300" wp14:anchorId="39811738" wp14:editId="2864810F">
                <wp:extent cx="584200" cy="431800"/>
                <wp:effectExtent l="0" t="0" r="0" b="0"/>
                <wp:docPr id="12" name="矩形 12"/>
                <wp:cNvGraphicFramePr/>
                <a:graphic xmlns:a="http://schemas.openxmlformats.org/drawingml/2006/main">
                  <a:graphicData uri="http://schemas.microsoft.com/office/word/2010/wordprocessingShape">
                    <wps:wsp>
                      <wps:cNvSpPr/>
                      <wps:spPr>
                        <a:xfrm>
                          <a:off x="5055169" y="3562830"/>
                          <a:ext cx="581660" cy="434339"/>
                        </a:xfrm>
                        <a:prstGeom prst="rect">
                          <a:avLst/>
                        </a:prstGeom>
                        <a:solidFill>
                          <a:srgbClr val="FFFFFF"/>
                        </a:solidFill>
                        <a:ln>
                          <a:noFill/>
                        </a:ln>
                      </wps:spPr>
                      <wps:txbx>
                        <w:txbxContent>
                          <w:p w14:paraId="0054E6A2" w14:textId="77777777" w:rsidR="00FE1E6E" w:rsidRDefault="00FE1E6E">
                            <w:pPr>
                              <w:spacing w:line="360" w:lineRule="auto"/>
                              <w:textDirection w:val="btLr"/>
                            </w:pPr>
                            <w:r>
                              <w:rPr>
                                <w:rFonts w:ascii="Calibri" w:eastAsia="Calibri" w:hAnsi="Calibri" w:cs="Calibri"/>
                                <w:sz w:val="16"/>
                              </w:rPr>
                              <w:t>公式(一)</w:t>
                            </w:r>
                          </w:p>
                          <w:p w14:paraId="54208FAB" w14:textId="77777777" w:rsidR="00FE1E6E" w:rsidRDefault="00FE1E6E">
                            <w:pPr>
                              <w:spacing w:line="360" w:lineRule="auto"/>
                              <w:textDirection w:val="btLr"/>
                            </w:pPr>
                          </w:p>
                        </w:txbxContent>
                      </wps:txbx>
                      <wps:bodyPr lIns="91425" tIns="45700" rIns="91425" bIns="45700" anchor="t" anchorCtr="0"/>
                    </wps:wsp>
                  </a:graphicData>
                </a:graphic>
              </wp:inline>
            </w:drawing>
          </mc:Choice>
          <mc:Fallback>
            <w:pict>
              <v:rect w14:anchorId="39811738" id="矩形 12" o:spid="_x0000_s1026" style="width:4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" stroked="f">
                <v:textbox inset="2.53958mm,1.2694mm,2.53958mm,1.2694mm">
                  <w:txbxContent>
                    <w:p w14:paraId="0054E6A2" w14:textId="77777777" w:rsidR="00FE1E6E" w:rsidRDefault="00FE1E6E">
                      <w:pPr>
                        <w:spacing w:line="360" w:lineRule="auto"/>
                        <w:textDirection w:val="btLr"/>
                      </w:pPr>
                      <w:r>
                        <w:rPr>
                          <w:rFonts w:ascii="Calibri" w:eastAsia="Calibri" w:hAnsi="Calibri" w:cs="Calibri"/>
                          <w:sz w:val="16"/>
                        </w:rPr>
                        <w:t>公式(一)</w:t>
                      </w:r>
                    </w:p>
                    <w:p w14:paraId="54208FAB" w14:textId="77777777" w:rsidR="00FE1E6E" w:rsidRDefault="00FE1E6E">
                      <w:pPr>
                        <w:spacing w:line="360" w:lineRule="auto"/>
                        <w:textDirection w:val="btLr"/>
                      </w:pPr>
                    </w:p>
                  </w:txbxContent>
                </v:textbox>
                <w10:anchorlock/>
              </v:rect>
            </w:pict>
          </mc:Fallback>
        </mc:AlternateContent>
      </w:r>
    </w:p>
    <w:p w14:paraId="7044D9D9" w14:textId="77777777" w:rsidR="002A1C85" w:rsidRPr="008F62E9" w:rsidRDefault="001217C9">
      <w:pPr>
        <w:pStyle w:val="10"/>
        <w:widowControl w:val="0"/>
        <w:spacing w:line="360" w:lineRule="auto"/>
        <w:jc w:val="center"/>
        <w:rPr>
          <w:rFonts w:ascii="新細明體" w:hAnsi="新細明體" w:cs="新細明體"/>
          <w:color w:val="00000A"/>
          <w:sz w:val="24"/>
          <w:szCs w:val="24"/>
        </w:rPr>
      </w:pPr>
      <w:r>
        <w:rPr>
          <w:noProof/>
        </w:rPr>
        <w:drawing>
          <wp:inline distT="0" distB="0" distL="114300" distR="114300" wp14:anchorId="32B7DB64" wp14:editId="526854FB">
            <wp:extent cx="762000" cy="457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762000" cy="457200"/>
                    </a:xfrm>
                    <a:prstGeom prst="rect">
                      <a:avLst/>
                    </a:prstGeom>
                    <a:ln/>
                  </pic:spPr>
                </pic:pic>
              </a:graphicData>
            </a:graphic>
          </wp:inline>
        </w:drawing>
      </w:r>
      <w:ins w:id="5" w:author="Cheng-hsiung Yang" w:date="2016-11-24T09:58:00Z">
        <w:r>
          <w:rPr>
            <w:rFonts w:ascii="Calibri" w:eastAsia="Calibri" w:hAnsi="Calibri" w:cs="Calibri"/>
            <w:color w:val="00000A"/>
            <w:sz w:val="24"/>
            <w:szCs w:val="24"/>
          </w:rPr>
          <w:t>......................</w:t>
        </w:r>
        <w:commentRangeStart w:id="6"/>
        <w:commentRangeEnd w:id="6"/>
        <w:r>
          <w:commentReference w:id="6"/>
        </w:r>
        <w:r w:rsidR="002A1C85">
          <w:rPr>
            <w:rFonts w:ascii="Calibri" w:eastAsia="Calibri" w:hAnsi="Calibri" w:cs="Calibri"/>
            <w:color w:val="00000A"/>
            <w:sz w:val="24"/>
            <w:szCs w:val="24"/>
          </w:rPr>
          <w:t>公式</w:t>
        </w:r>
      </w:ins>
      <w:r w:rsidR="006A2935">
        <w:rPr>
          <w:rFonts w:ascii="Calibri" w:hAnsi="Calibri" w:cs="Calibri" w:hint="eastAsia"/>
          <w:color w:val="00000A"/>
          <w:sz w:val="24"/>
          <w:szCs w:val="24"/>
        </w:rPr>
        <w:t>(1)</w:t>
      </w:r>
    </w:p>
    <w:p w14:paraId="1C665DB5"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p>
    <w:p w14:paraId="1E25B69B"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然而，上述公式中的參數(V、P、C)，需要非常詳細的評估才得以推估，所以如同這幾位學者在他們的研究中所陳述的一樣，這一套方法比較適用於從不同的保育計畫中決定要先執行哪一份計畫，亦即已有非常詳細的評估資料後，才能進行這樣的計算。即是所謂</w:t>
      </w:r>
      <w:commentRangeStart w:id="7"/>
      <w:r>
        <w:rPr>
          <w:rFonts w:ascii="Arial Unicode MS" w:eastAsia="Arial Unicode MS" w:hAnsi="Arial Unicode MS" w:cs="Arial Unicode MS"/>
        </w:rPr>
        <w:t>計畫優先草案</w:t>
      </w:r>
      <w:commentRangeEnd w:id="7"/>
      <w:r>
        <w:commentReference w:id="7"/>
      </w:r>
      <w:r>
        <w:rPr>
          <w:rFonts w:ascii="Kinnari" w:eastAsia="Kinnari" w:hAnsi="Kinnari" w:cs="Kinnari"/>
          <w:color w:val="00000A"/>
          <w:sz w:val="24"/>
          <w:szCs w:val="24"/>
        </w:rPr>
        <w:t>”Project Prioritization Protocol” (PPP，Joseph 2009)。因此按照其流程定義，想獲得完善的物種保育優先順序，則必須先為所有的受脅物種各自編撰一份保育行動計畫，再按照PPP的程序來推估出要以哪一物種優先施行保育行動。例如Joseph(2009)的評估就是由超過100位的物種專家協力針對32</w:t>
      </w:r>
      <w:r>
        <w:rPr>
          <w:rFonts w:ascii="新細明體" w:eastAsia="新細明體" w:hAnsi="新細明體" w:cs="新細明體"/>
          <w:color w:val="00000A"/>
          <w:sz w:val="24"/>
          <w:szCs w:val="24"/>
        </w:rPr>
        <w:t>種</w:t>
      </w:r>
      <w:r>
        <w:rPr>
          <w:rFonts w:ascii="Kinnari" w:eastAsia="Kinnari" w:hAnsi="Kinnari" w:cs="Kinnari"/>
          <w:color w:val="00000A"/>
          <w:sz w:val="24"/>
          <w:szCs w:val="24"/>
        </w:rPr>
        <w:t>瀕危物種各自編撰保育計畫才得以完成。然而，絕大部分的受脅物種並沒有</w:t>
      </w:r>
      <w:r w:rsidR="008C3769">
        <w:rPr>
          <w:rFonts w:ascii="Kinnari" w:eastAsia="Kinnari" w:hAnsi="Kinnari" w:cs="Kinnari"/>
          <w:color w:val="00000A"/>
          <w:sz w:val="24"/>
          <w:szCs w:val="24"/>
        </w:rPr>
        <w:t>提出</w:t>
      </w:r>
      <w:r>
        <w:rPr>
          <w:rFonts w:ascii="Kinnari" w:eastAsia="Kinnari" w:hAnsi="Kinnari" w:cs="Kinnari"/>
          <w:color w:val="00000A"/>
          <w:sz w:val="24"/>
          <w:szCs w:val="24"/>
        </w:rPr>
        <w:t>相對應的保育行動計畫，而透過這樣的流程可能會緩不濟急，且極為耗費成本。</w:t>
      </w:r>
    </w:p>
    <w:p w14:paraId="27DB2796" w14:textId="77777777" w:rsidR="002A1C85" w:rsidRDefault="002A1C85">
      <w:pPr>
        <w:pStyle w:val="10"/>
        <w:widowControl w:val="0"/>
        <w:spacing w:line="360" w:lineRule="auto"/>
        <w:jc w:val="both"/>
        <w:rPr>
          <w:rFonts w:ascii="Kinnari" w:eastAsia="Kinnari" w:hAnsi="Kinnari" w:cs="Kinnari"/>
          <w:color w:val="00000A"/>
          <w:sz w:val="24"/>
          <w:szCs w:val="24"/>
        </w:rPr>
      </w:pPr>
    </w:p>
    <w:p w14:paraId="1D8A5FB7"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因此本研究嘗試從另外一個角度切入，亦即不先進行個別物種的保育行動計畫，再來評估其實行的優先順序。而是希望在目前已有的資料與架構下，就先嘗試建立起保育優先順序，再依據其順序，分別擬定個別的保育行動計畫。</w:t>
      </w:r>
    </w:p>
    <w:p w14:paraId="6086A820" w14:textId="77777777" w:rsidR="002A1C85" w:rsidRDefault="002A1C85">
      <w:pPr>
        <w:pStyle w:val="10"/>
        <w:widowControl w:val="0"/>
        <w:spacing w:line="360" w:lineRule="auto"/>
        <w:jc w:val="both"/>
        <w:rPr>
          <w:rFonts w:ascii="Kinnari" w:eastAsia="Kinnari" w:hAnsi="Kinnari" w:cs="Kinnari"/>
          <w:color w:val="00000A"/>
          <w:sz w:val="24"/>
          <w:szCs w:val="24"/>
        </w:rPr>
      </w:pPr>
    </w:p>
    <w:p w14:paraId="28ECB9C1"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前述的參考資料，通常是以量化的資料來取得個別物種的V、P與C的數值。如果在評估初期的階段，暫時不以量化的資料，而是改以每個物種V、P與C排序作為原始資料的方式(偏向定性的描述)，是否依然可以透過這些排序資料獲得可信的優先順序結論？</w:t>
      </w:r>
      <w:r w:rsidR="008C3769">
        <w:rPr>
          <w:rFonts w:ascii="Kinnari" w:eastAsia="Kinnari" w:hAnsi="Kinnari" w:cs="Kinnari"/>
          <w:color w:val="00000A"/>
          <w:sz w:val="24"/>
          <w:szCs w:val="24"/>
        </w:rPr>
        <w:t>作者曾</w:t>
      </w:r>
      <w:r w:rsidR="002A1C85">
        <w:rPr>
          <w:rFonts w:ascii="Kinnari" w:eastAsia="Kinnari" w:hAnsi="Kinnari" w:cs="Kinnari"/>
          <w:color w:val="00000A"/>
          <w:sz w:val="24"/>
          <w:szCs w:val="24"/>
        </w:rPr>
        <w:t>以</w:t>
      </w:r>
      <w:r>
        <w:rPr>
          <w:rFonts w:ascii="Kinnari" w:eastAsia="Kinnari" w:hAnsi="Kinnari" w:cs="Kinnari"/>
          <w:color w:val="00000A"/>
          <w:sz w:val="24"/>
          <w:szCs w:val="24"/>
        </w:rPr>
        <w:t>模擬</w:t>
      </w:r>
      <w:r w:rsidR="002A1C85">
        <w:rPr>
          <w:rFonts w:ascii="Kinnari" w:eastAsia="Kinnari" w:hAnsi="Kinnari" w:cs="Kinnari"/>
          <w:color w:val="00000A"/>
          <w:sz w:val="24"/>
          <w:szCs w:val="24"/>
        </w:rPr>
        <w:t>的方式進行這樣的探討，其初步分析的</w:t>
      </w:r>
      <w:r>
        <w:rPr>
          <w:rFonts w:ascii="Kinnari" w:eastAsia="Kinnari" w:hAnsi="Kinnari" w:cs="Kinnari"/>
          <w:color w:val="00000A"/>
          <w:sz w:val="24"/>
          <w:szCs w:val="24"/>
        </w:rPr>
        <w:t>結果顯示</w:t>
      </w:r>
      <w:r>
        <w:rPr>
          <w:rFonts w:ascii="Kinnari" w:eastAsia="Kinnari" w:hAnsi="Kinnari" w:cs="Kinnari"/>
          <w:sz w:val="24"/>
          <w:szCs w:val="24"/>
          <w:highlight w:val="yellow"/>
        </w:rPr>
        <w:t>(</w:t>
      </w:r>
      <w:r>
        <w:rPr>
          <w:rFonts w:ascii="新細明體" w:eastAsia="新細明體" w:hAnsi="新細明體" w:cs="新細明體"/>
          <w:sz w:val="24"/>
          <w:szCs w:val="24"/>
          <w:highlight w:val="yellow"/>
        </w:rPr>
        <w:t>A</w:t>
      </w:r>
      <w:r>
        <w:rPr>
          <w:rFonts w:ascii="Kinnari" w:eastAsia="Kinnari" w:hAnsi="Kinnari" w:cs="Kinnari"/>
          <w:sz w:val="24"/>
          <w:szCs w:val="24"/>
          <w:highlight w:val="yellow"/>
        </w:rPr>
        <w:t>ppendix 1</w:t>
      </w:r>
      <w:commentRangeStart w:id="8"/>
      <w:commentRangeEnd w:id="8"/>
      <w:r>
        <w:commentReference w:id="8"/>
      </w:r>
      <w:r w:rsidR="002A1C85">
        <w:rPr>
          <w:rFonts w:ascii="Kinnari" w:eastAsia="Kinnari" w:hAnsi="Kinnari" w:cs="Kinnari"/>
          <w:sz w:val="24"/>
          <w:szCs w:val="24"/>
          <w:highlight w:val="yellow"/>
        </w:rPr>
        <w:t>，</w:t>
      </w:r>
      <w:r w:rsidR="002A1C85" w:rsidRPr="008F62E9">
        <w:rPr>
          <w:rFonts w:ascii="Kinnari" w:eastAsia="Kinnari" w:hAnsi="Kinnari" w:cs="Kinnari"/>
          <w:b/>
          <w:sz w:val="24"/>
          <w:szCs w:val="24"/>
          <w:highlight w:val="yellow"/>
        </w:rPr>
        <w:t>這部分有圖表可以佐證嗎？</w:t>
      </w:r>
      <w:r>
        <w:rPr>
          <w:rFonts w:ascii="Kinnari" w:eastAsia="Kinnari" w:hAnsi="Kinnari" w:cs="Kinnari"/>
          <w:sz w:val="24"/>
          <w:szCs w:val="24"/>
          <w:highlight w:val="yellow"/>
        </w:rPr>
        <w:t>)</w:t>
      </w:r>
      <w:r>
        <w:rPr>
          <w:rFonts w:ascii="Kinnari" w:eastAsia="Kinnari" w:hAnsi="Kinnari" w:cs="Kinnari"/>
          <w:color w:val="00000A"/>
          <w:sz w:val="24"/>
          <w:szCs w:val="24"/>
        </w:rPr>
        <w:t>，即使完全以定性的方式得到個別物種的V、P、C的值(這裡的值是指排序的數值)來計算，其真實數值</w:t>
      </w:r>
      <w:r>
        <w:rPr>
          <w:rFonts w:ascii="Kinnari" w:eastAsia="Kinnari" w:hAnsi="Kinnari" w:cs="Kinnari"/>
          <w:color w:val="00000A"/>
          <w:sz w:val="24"/>
          <w:szCs w:val="24"/>
        </w:rPr>
        <w:lastRenderedPageBreak/>
        <w:t>與排序數值兩種不同方式所計算得到的優先順序，在</w:t>
      </w:r>
      <w:r>
        <w:rPr>
          <w:rFonts w:ascii="新細明體" w:eastAsia="新細明體" w:hAnsi="新細明體" w:cs="新細明體"/>
          <w:color w:val="00000A"/>
          <w:sz w:val="24"/>
          <w:szCs w:val="24"/>
        </w:rPr>
        <w:t>前五名仍能維持大約80%的準確性(</w:t>
      </w:r>
      <w:commentRangeStart w:id="9"/>
      <w:r w:rsidR="002A1C85">
        <w:rPr>
          <w:rFonts w:ascii="新細明體" w:eastAsia="新細明體" w:hAnsi="新細明體" w:cs="新細明體"/>
          <w:color w:val="00000A"/>
          <w:sz w:val="24"/>
          <w:szCs w:val="24"/>
        </w:rPr>
        <w:t>需要再說明清楚一點？</w:t>
      </w:r>
      <w:commentRangeEnd w:id="9"/>
      <w:r w:rsidR="008C3769">
        <w:rPr>
          <w:rStyle w:val="ad"/>
        </w:rPr>
        <w:commentReference w:id="9"/>
      </w:r>
      <w:r w:rsidR="002A1C85">
        <w:rPr>
          <w:rFonts w:ascii="新細明體" w:eastAsia="新細明體" w:hAnsi="新細明體" w:cs="新細明體"/>
          <w:color w:val="00000A"/>
          <w:sz w:val="24"/>
          <w:szCs w:val="24"/>
        </w:rPr>
        <w:t>)</w:t>
      </w:r>
      <w:r>
        <w:rPr>
          <w:rFonts w:ascii="Kinnari" w:eastAsia="Kinnari" w:hAnsi="Kinnari" w:cs="Kinnari"/>
          <w:color w:val="00000A"/>
          <w:sz w:val="24"/>
          <w:szCs w:val="24"/>
        </w:rPr>
        <w:t>。</w:t>
      </w:r>
    </w:p>
    <w:p w14:paraId="1C9EEAB2" w14:textId="77777777" w:rsidR="002A1C85" w:rsidRDefault="002A1C85">
      <w:pPr>
        <w:pStyle w:val="10"/>
        <w:widowControl w:val="0"/>
        <w:spacing w:line="360" w:lineRule="auto"/>
        <w:jc w:val="both"/>
        <w:rPr>
          <w:rFonts w:ascii="Kinnari" w:eastAsia="Kinnari" w:hAnsi="Kinnari" w:cs="Kinnari"/>
          <w:color w:val="00000A"/>
          <w:sz w:val="24"/>
          <w:szCs w:val="24"/>
        </w:rPr>
      </w:pPr>
    </w:p>
    <w:p w14:paraId="179E7061"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因此</w:t>
      </w:r>
      <w:r w:rsidR="00697759">
        <w:rPr>
          <w:rFonts w:ascii="Kinnari" w:eastAsia="Kinnari" w:hAnsi="Kinnari" w:cs="Kinnari"/>
          <w:color w:val="00000A"/>
          <w:sz w:val="24"/>
          <w:szCs w:val="24"/>
        </w:rPr>
        <w:t>在實際資料取得困難的情況下，</w:t>
      </w:r>
      <w:r>
        <w:rPr>
          <w:rFonts w:ascii="Kinnari" w:eastAsia="Kinnari" w:hAnsi="Kinnari" w:cs="Kinnari"/>
          <w:color w:val="00000A"/>
          <w:sz w:val="24"/>
          <w:szCs w:val="24"/>
        </w:rPr>
        <w:t>以定性</w:t>
      </w:r>
      <w:r w:rsidR="00697759">
        <w:rPr>
          <w:rFonts w:ascii="Kinnari" w:eastAsia="Kinnari" w:hAnsi="Kinnari" w:cs="Kinnari"/>
          <w:color w:val="00000A"/>
          <w:sz w:val="24"/>
          <w:szCs w:val="24"/>
        </w:rPr>
        <w:t>取代定量</w:t>
      </w:r>
      <w:r>
        <w:rPr>
          <w:rFonts w:ascii="Kinnari" w:eastAsia="Kinnari" w:hAnsi="Kinnari" w:cs="Kinnari"/>
          <w:color w:val="00000A"/>
          <w:sz w:val="24"/>
          <w:szCs w:val="24"/>
        </w:rPr>
        <w:t>的方式</w:t>
      </w:r>
      <w:r w:rsidR="00697759">
        <w:rPr>
          <w:rFonts w:ascii="Kinnari" w:eastAsia="Kinnari" w:hAnsi="Kinnari" w:cs="Kinnari"/>
          <w:color w:val="00000A"/>
          <w:sz w:val="24"/>
          <w:szCs w:val="24"/>
        </w:rPr>
        <w:t>來</w:t>
      </w:r>
      <w:r>
        <w:rPr>
          <w:rFonts w:ascii="新細明體" w:eastAsia="新細明體" w:hAnsi="新細明體" w:cs="新細明體"/>
          <w:color w:val="00000A"/>
          <w:sz w:val="24"/>
          <w:szCs w:val="24"/>
        </w:rPr>
        <w:t>推估個別物種的</w:t>
      </w:r>
      <w:r>
        <w:rPr>
          <w:rFonts w:ascii="Kinnari" w:eastAsia="Kinnari" w:hAnsi="Kinnari" w:cs="Kinnari"/>
          <w:color w:val="00000A"/>
          <w:sz w:val="24"/>
          <w:szCs w:val="24"/>
        </w:rPr>
        <w:t>V、P、C數值應該</w:t>
      </w:r>
      <w:r>
        <w:rPr>
          <w:rFonts w:ascii="新細明體" w:eastAsia="新細明體" w:hAnsi="新細明體" w:cs="新細明體"/>
          <w:color w:val="00000A"/>
          <w:sz w:val="24"/>
          <w:szCs w:val="24"/>
        </w:rPr>
        <w:t>是可行的</w:t>
      </w:r>
      <w:r>
        <w:rPr>
          <w:rFonts w:ascii="Kinnari" w:eastAsia="Kinnari" w:hAnsi="Kinnari" w:cs="Kinnari"/>
          <w:color w:val="00000A"/>
          <w:sz w:val="24"/>
          <w:szCs w:val="24"/>
        </w:rPr>
        <w:t>，以淡水魚類為例:可能可以</w:t>
      </w:r>
      <w:r>
        <w:rPr>
          <w:rFonts w:ascii="新細明體" w:eastAsia="新細明體" w:hAnsi="新細明體" w:cs="新細明體"/>
          <w:color w:val="00000A"/>
          <w:sz w:val="24"/>
          <w:szCs w:val="24"/>
        </w:rPr>
        <w:t>使用其已知的</w:t>
      </w:r>
      <w:r>
        <w:rPr>
          <w:rFonts w:ascii="Kinnari" w:eastAsia="Kinnari" w:hAnsi="Kinnari" w:cs="Kinnari"/>
          <w:color w:val="00000A"/>
          <w:sz w:val="24"/>
          <w:szCs w:val="24"/>
        </w:rPr>
        <w:t>產卵次數多</w:t>
      </w:r>
      <w:r>
        <w:rPr>
          <w:rFonts w:ascii="新細明體" w:eastAsia="新細明體" w:hAnsi="新細明體" w:cs="新細明體"/>
          <w:color w:val="00000A"/>
          <w:sz w:val="24"/>
          <w:szCs w:val="24"/>
        </w:rPr>
        <w:t>寡</w:t>
      </w:r>
      <w:r>
        <w:rPr>
          <w:rFonts w:ascii="Kinnari" w:eastAsia="Kinnari" w:hAnsi="Kinnari" w:cs="Kinnari"/>
          <w:color w:val="00000A"/>
          <w:sz w:val="24"/>
          <w:szCs w:val="24"/>
        </w:rPr>
        <w:t>、產卵數量大</w:t>
      </w:r>
      <w:r>
        <w:rPr>
          <w:rFonts w:ascii="新細明體" w:eastAsia="新細明體" w:hAnsi="新細明體" w:cs="新細明體"/>
          <w:color w:val="00000A"/>
          <w:sz w:val="24"/>
          <w:szCs w:val="24"/>
        </w:rPr>
        <w:t>小、以及是否已發展出人工繁殖技術這樣的資料，推估</w:t>
      </w:r>
      <w:r>
        <w:rPr>
          <w:rFonts w:ascii="Kinnari" w:eastAsia="Kinnari" w:hAnsi="Kinnari" w:cs="Kinnari"/>
          <w:color w:val="00000A"/>
          <w:sz w:val="24"/>
          <w:szCs w:val="24"/>
        </w:rPr>
        <w:t>其恢復潛力(亦即P)。由上所述，我們只要</w:t>
      </w:r>
      <w:r w:rsidR="008C3769">
        <w:rPr>
          <w:rFonts w:ascii="Kinnari" w:hAnsi="Kinnari" w:cs="Kinnari" w:hint="eastAsia"/>
          <w:color w:val="00000A"/>
          <w:sz w:val="24"/>
          <w:szCs w:val="24"/>
        </w:rPr>
        <w:t>建立</w:t>
      </w:r>
      <w:r>
        <w:rPr>
          <w:rFonts w:ascii="Kinnari" w:eastAsia="Kinnari" w:hAnsi="Kinnari" w:cs="Kinnari"/>
          <w:color w:val="00000A"/>
          <w:sz w:val="24"/>
          <w:szCs w:val="24"/>
        </w:rPr>
        <w:t>能反應出個別物種其V、P、C數值的內容，</w:t>
      </w:r>
      <w:r w:rsidR="008C3769">
        <w:rPr>
          <w:rFonts w:ascii="Kinnari" w:eastAsia="Kinnari" w:hAnsi="Kinnari" w:cs="Kinnari"/>
          <w:color w:val="00000A"/>
          <w:sz w:val="24"/>
          <w:szCs w:val="24"/>
        </w:rPr>
        <w:t>並</w:t>
      </w:r>
      <w:r>
        <w:rPr>
          <w:rFonts w:ascii="Kinnari" w:eastAsia="Kinnari" w:hAnsi="Kinnari" w:cs="Kinnari"/>
          <w:color w:val="00000A"/>
          <w:sz w:val="24"/>
          <w:szCs w:val="24"/>
        </w:rPr>
        <w:t>收集數個有助於描述其差異的指標因子，即可得到個別物種其V、P、C數值的相對大小(亦即排序)，再將其排序換算得到的數值套入在</w:t>
      </w:r>
      <w:r w:rsidR="008C3769">
        <w:rPr>
          <w:rFonts w:ascii="Kinnari" w:eastAsia="Kinnari" w:hAnsi="Kinnari" w:cs="Kinnari"/>
          <w:color w:val="00000A"/>
          <w:sz w:val="24"/>
          <w:szCs w:val="24"/>
        </w:rPr>
        <w:t>前述</w:t>
      </w:r>
      <w:r>
        <w:rPr>
          <w:rFonts w:ascii="Kinnari" w:eastAsia="Kinnari" w:hAnsi="Kinnari" w:cs="Kinnari"/>
          <w:color w:val="00000A"/>
          <w:sz w:val="24"/>
          <w:szCs w:val="24"/>
        </w:rPr>
        <w:t>公式中，即可推估出哪些物種具有較需要優先採取保育行動。</w:t>
      </w:r>
    </w:p>
    <w:p w14:paraId="3449F82E" w14:textId="77777777" w:rsidR="002A1C85" w:rsidRDefault="002A1C85">
      <w:pPr>
        <w:pStyle w:val="10"/>
        <w:widowControl w:val="0"/>
        <w:spacing w:line="360" w:lineRule="auto"/>
        <w:jc w:val="both"/>
        <w:rPr>
          <w:rFonts w:ascii="Kinnari" w:eastAsia="Kinnari" w:hAnsi="Kinnari" w:cs="Kinnari"/>
          <w:color w:val="00000A"/>
          <w:sz w:val="24"/>
          <w:szCs w:val="24"/>
        </w:rPr>
      </w:pPr>
    </w:p>
    <w:p w14:paraId="14C2C65E" w14:textId="77777777" w:rsidR="002A1C85" w:rsidRDefault="001217C9" w:rsidP="008F62E9">
      <w:pPr>
        <w:pStyle w:val="10"/>
        <w:widowControl w:val="0"/>
        <w:spacing w:line="360" w:lineRule="auto"/>
        <w:rPr>
          <w:ins w:id="10" w:author="Cheng-hsiung Yang" w:date="2016-11-21T01:29:00Z"/>
          <w:rFonts w:ascii="新細明體" w:eastAsia="新細明體" w:hAnsi="新細明體" w:cs="新細明體"/>
          <w:color w:val="00000A"/>
          <w:sz w:val="24"/>
          <w:szCs w:val="24"/>
        </w:rPr>
      </w:pPr>
      <w:r>
        <w:rPr>
          <w:rFonts w:ascii="Kinnari" w:eastAsia="Kinnari" w:hAnsi="Kinnari" w:cs="Kinnari"/>
          <w:color w:val="00000A"/>
          <w:sz w:val="24"/>
          <w:szCs w:val="24"/>
        </w:rPr>
        <w:t>但即使</w:t>
      </w:r>
      <w:r w:rsidR="00697759">
        <w:rPr>
          <w:rFonts w:ascii="Kinnari" w:eastAsia="Kinnari" w:hAnsi="Kinnari" w:cs="Kinnari"/>
          <w:color w:val="00000A"/>
          <w:sz w:val="24"/>
          <w:szCs w:val="24"/>
        </w:rPr>
        <w:t>已經用推估方式</w:t>
      </w:r>
      <w:r>
        <w:rPr>
          <w:rFonts w:ascii="新細明體" w:eastAsia="新細明體" w:hAnsi="新細明體" w:cs="新細明體"/>
          <w:color w:val="00000A"/>
          <w:sz w:val="24"/>
          <w:szCs w:val="24"/>
        </w:rPr>
        <w:t>簡化</w:t>
      </w:r>
      <w:r>
        <w:rPr>
          <w:rFonts w:ascii="Kinnari" w:eastAsia="Kinnari" w:hAnsi="Kinnari" w:cs="Kinnari"/>
          <w:color w:val="00000A"/>
          <w:sz w:val="24"/>
          <w:szCs w:val="24"/>
        </w:rPr>
        <w:t>V、P、C的數值，其</w:t>
      </w:r>
      <w:r>
        <w:rPr>
          <w:rFonts w:ascii="新細明體" w:eastAsia="新細明體" w:hAnsi="新細明體" w:cs="新細明體"/>
          <w:color w:val="00000A"/>
          <w:sz w:val="24"/>
          <w:szCs w:val="24"/>
        </w:rPr>
        <w:t>所</w:t>
      </w:r>
      <w:r>
        <w:rPr>
          <w:rFonts w:ascii="Kinnari" w:eastAsia="Kinnari" w:hAnsi="Kinnari" w:cs="Kinnari"/>
          <w:color w:val="00000A"/>
          <w:sz w:val="24"/>
          <w:szCs w:val="24"/>
        </w:rPr>
        <w:t>需要</w:t>
      </w:r>
      <w:r>
        <w:rPr>
          <w:rFonts w:ascii="新細明體" w:eastAsia="新細明體" w:hAnsi="新細明體" w:cs="新細明體"/>
          <w:color w:val="00000A"/>
          <w:sz w:val="24"/>
          <w:szCs w:val="24"/>
        </w:rPr>
        <w:t>的資料量</w:t>
      </w:r>
      <w:r w:rsidR="00F80828">
        <w:rPr>
          <w:rFonts w:ascii="新細明體" w:eastAsia="新細明體" w:hAnsi="新細明體" w:cs="新細明體"/>
          <w:color w:val="00000A"/>
          <w:sz w:val="24"/>
          <w:szCs w:val="24"/>
        </w:rPr>
        <w:t>依然龐大</w:t>
      </w:r>
      <w:r>
        <w:rPr>
          <w:rFonts w:ascii="Kinnari" w:eastAsia="Kinnari" w:hAnsi="Kinnari" w:cs="Kinnari"/>
          <w:color w:val="00000A"/>
          <w:sz w:val="24"/>
          <w:szCs w:val="24"/>
        </w:rPr>
        <w:t>，目前已知的資料可能</w:t>
      </w:r>
      <w:r w:rsidR="00F80828">
        <w:rPr>
          <w:rFonts w:ascii="Kinnari" w:eastAsia="Kinnari" w:hAnsi="Kinnari" w:cs="Kinnari"/>
          <w:color w:val="00000A"/>
          <w:sz w:val="24"/>
          <w:szCs w:val="24"/>
        </w:rPr>
        <w:t>十分缺乏</w:t>
      </w:r>
      <w:r>
        <w:rPr>
          <w:rFonts w:ascii="Kinnari" w:eastAsia="Kinnari" w:hAnsi="Kinnari" w:cs="Kinnari"/>
          <w:color w:val="00000A"/>
          <w:sz w:val="24"/>
          <w:szCs w:val="24"/>
        </w:rPr>
        <w:t>。</w:t>
      </w:r>
      <w:r w:rsidR="00F80828">
        <w:rPr>
          <w:rFonts w:ascii="Kinnari" w:hAnsi="Kinnari" w:cs="Kinnari" w:hint="eastAsia"/>
          <w:color w:val="00000A"/>
          <w:sz w:val="24"/>
          <w:szCs w:val="24"/>
        </w:rPr>
        <w:t>仍</w:t>
      </w:r>
      <w:r>
        <w:rPr>
          <w:rFonts w:ascii="Kinnari" w:eastAsia="Kinnari" w:hAnsi="Kinnari" w:cs="Kinnari"/>
          <w:color w:val="00000A"/>
          <w:sz w:val="24"/>
          <w:szCs w:val="24"/>
        </w:rPr>
        <w:t>需要以其他方</w:t>
      </w:r>
      <w:r w:rsidR="00F80828">
        <w:rPr>
          <w:rFonts w:ascii="Kinnari" w:eastAsia="Kinnari" w:hAnsi="Kinnari" w:cs="Kinnari"/>
          <w:color w:val="00000A"/>
          <w:sz w:val="24"/>
          <w:szCs w:val="24"/>
        </w:rPr>
        <w:t>法</w:t>
      </w:r>
      <w:r>
        <w:rPr>
          <w:rFonts w:ascii="Kinnari" w:eastAsia="Kinnari" w:hAnsi="Kinnari" w:cs="Kinnari"/>
          <w:color w:val="00000A"/>
          <w:sz w:val="24"/>
          <w:szCs w:val="24"/>
        </w:rPr>
        <w:t>再簡化。事實上，</w:t>
      </w:r>
      <w:r w:rsidRPr="008F62E9">
        <w:rPr>
          <w:rFonts w:ascii="Kinnari" w:eastAsia="Kinnari" w:hAnsi="Kinnari" w:cs="Kinnari"/>
          <w:color w:val="00000A"/>
          <w:sz w:val="24"/>
          <w:szCs w:val="24"/>
          <w:highlight w:val="yellow"/>
          <w:shd w:val="clear" w:color="auto" w:fill="FF9900"/>
        </w:rPr>
        <w:t>本研究</w:t>
      </w:r>
      <w:r w:rsidR="00FB6190" w:rsidRPr="008F62E9">
        <w:rPr>
          <w:rFonts w:ascii="Kinnari" w:eastAsia="Kinnari" w:hAnsi="Kinnari" w:cs="Kinnari"/>
          <w:color w:val="00000A"/>
          <w:sz w:val="24"/>
          <w:szCs w:val="24"/>
          <w:highlight w:val="yellow"/>
          <w:shd w:val="clear" w:color="auto" w:fill="FF9900"/>
        </w:rPr>
        <w:t>以為</w:t>
      </w:r>
      <w:r>
        <w:rPr>
          <w:rFonts w:ascii="Kinnari" w:eastAsia="Kinnari" w:hAnsi="Kinnari" w:cs="Kinnari"/>
          <w:color w:val="00000A"/>
          <w:sz w:val="24"/>
          <w:szCs w:val="24"/>
        </w:rPr>
        <w:t>並非所有在受脅清單內的物種，都必須獲得上述三個數值(V、P、C)的評估資料。舉例來說：</w:t>
      </w:r>
      <w:commentRangeStart w:id="11"/>
      <w:r>
        <w:rPr>
          <w:rFonts w:ascii="Kinnari" w:eastAsia="Kinnari" w:hAnsi="Kinnari" w:cs="Kinnari"/>
          <w:color w:val="00000A"/>
          <w:sz w:val="24"/>
          <w:szCs w:val="24"/>
        </w:rPr>
        <w:t>一般公司行號在招募新進員工時，也不會針對全部</w:t>
      </w:r>
      <w:r w:rsidR="00D331FD">
        <w:rPr>
          <w:rFonts w:ascii="Kinnari" w:eastAsia="Kinnari" w:hAnsi="Kinnari" w:cs="Kinnari"/>
          <w:color w:val="00000A"/>
          <w:sz w:val="24"/>
          <w:szCs w:val="24"/>
        </w:rPr>
        <w:t>求職</w:t>
      </w:r>
      <w:r>
        <w:rPr>
          <w:rFonts w:ascii="Kinnari" w:eastAsia="Kinnari" w:hAnsi="Kinnari" w:cs="Kinnari"/>
          <w:color w:val="00000A"/>
          <w:sz w:val="24"/>
          <w:szCs w:val="24"/>
        </w:rPr>
        <w:t>人員都進行筆試、面試，而是</w:t>
      </w:r>
      <w:r w:rsidR="00D331FD">
        <w:rPr>
          <w:rFonts w:ascii="Kinnari" w:eastAsia="Kinnari" w:hAnsi="Kinnari" w:cs="Kinnari"/>
          <w:color w:val="00000A"/>
          <w:sz w:val="24"/>
          <w:szCs w:val="24"/>
        </w:rPr>
        <w:t>先</w:t>
      </w:r>
      <w:r>
        <w:rPr>
          <w:rFonts w:ascii="Kinnari" w:eastAsia="Kinnari" w:hAnsi="Kinnari" w:cs="Kinnari"/>
          <w:color w:val="00000A"/>
          <w:sz w:val="24"/>
          <w:szCs w:val="24"/>
        </w:rPr>
        <w:t>篩選掉不符合的人員。</w:t>
      </w:r>
      <w:commentRangeEnd w:id="11"/>
      <w:r w:rsidR="00FB6190">
        <w:rPr>
          <w:rStyle w:val="ad"/>
        </w:rPr>
        <w:commentReference w:id="11"/>
      </w:r>
      <w:r>
        <w:rPr>
          <w:rFonts w:ascii="Kinnari" w:eastAsia="Kinnari" w:hAnsi="Kinnari" w:cs="Kinnari"/>
          <w:color w:val="00000A"/>
          <w:sz w:val="24"/>
          <w:szCs w:val="24"/>
        </w:rPr>
        <w:t>只有通過初步審查的人才有機會進行筆試，而筆試通過後才能進行面試，</w:t>
      </w:r>
      <w:r w:rsidR="00D331FD">
        <w:rPr>
          <w:rFonts w:ascii="Kinnari" w:eastAsia="Kinnari" w:hAnsi="Kinnari" w:cs="Kinnari"/>
          <w:color w:val="00000A"/>
          <w:sz w:val="24"/>
          <w:szCs w:val="24"/>
        </w:rPr>
        <w:t>逐層篩選</w:t>
      </w:r>
      <w:r>
        <w:rPr>
          <w:rFonts w:ascii="Kinnari" w:eastAsia="Kinnari" w:hAnsi="Kinnari" w:cs="Kinnari"/>
          <w:color w:val="00000A"/>
          <w:sz w:val="24"/>
          <w:szCs w:val="24"/>
        </w:rPr>
        <w:t>後</w:t>
      </w:r>
      <w:r w:rsidR="00D331FD">
        <w:rPr>
          <w:rFonts w:ascii="Kinnari" w:hAnsi="Kinnari" w:cs="Kinnari" w:hint="eastAsia"/>
          <w:color w:val="00000A"/>
          <w:sz w:val="24"/>
          <w:szCs w:val="24"/>
        </w:rPr>
        <w:t>才</w:t>
      </w:r>
      <w:r>
        <w:rPr>
          <w:rFonts w:ascii="Kinnari" w:eastAsia="Kinnari" w:hAnsi="Kinnari" w:cs="Kinnari"/>
          <w:color w:val="00000A"/>
          <w:sz w:val="24"/>
          <w:szCs w:val="24"/>
        </w:rPr>
        <w:t>從候選名單中選出適合的人員。本</w:t>
      </w:r>
      <w:r w:rsidR="00FB6190">
        <w:rPr>
          <w:rFonts w:ascii="Kinnari" w:eastAsia="Kinnari" w:hAnsi="Kinnari" w:cs="Kinnari"/>
          <w:color w:val="00000A"/>
          <w:sz w:val="24"/>
          <w:szCs w:val="24"/>
        </w:rPr>
        <w:t>文</w:t>
      </w:r>
      <w:r w:rsidR="00FB6190">
        <w:rPr>
          <w:rFonts w:ascii="Kinnari" w:hAnsi="Kinnari" w:cs="Kinnari" w:hint="eastAsia"/>
          <w:color w:val="00000A"/>
          <w:sz w:val="24"/>
          <w:szCs w:val="24"/>
        </w:rPr>
        <w:t>作者</w:t>
      </w:r>
      <w:r>
        <w:rPr>
          <w:rFonts w:ascii="Kinnari" w:eastAsia="Kinnari" w:hAnsi="Kinnari" w:cs="Kinnari"/>
          <w:color w:val="00000A"/>
          <w:sz w:val="24"/>
          <w:szCs w:val="24"/>
        </w:rPr>
        <w:t>認為可以將同樣的機制套用在保育排序系統的討論上面，只有</w:t>
      </w:r>
      <w:commentRangeStart w:id="12"/>
      <w:r>
        <w:rPr>
          <w:rFonts w:ascii="Kinnari" w:eastAsia="Kinnari" w:hAnsi="Kinnari" w:cs="Kinnari"/>
          <w:color w:val="00000A"/>
          <w:sz w:val="24"/>
          <w:szCs w:val="24"/>
        </w:rPr>
        <w:t>物種保育價值(V)</w:t>
      </w:r>
      <w:commentRangeEnd w:id="12"/>
      <w:r w:rsidR="00D331FD">
        <w:rPr>
          <w:rStyle w:val="ad"/>
        </w:rPr>
        <w:commentReference w:id="12"/>
      </w:r>
      <w:r>
        <w:rPr>
          <w:rFonts w:ascii="Kinnari" w:eastAsia="Kinnari" w:hAnsi="Kinnari" w:cs="Kinnari"/>
          <w:color w:val="00000A"/>
          <w:sz w:val="24"/>
          <w:szCs w:val="24"/>
        </w:rPr>
        <w:t>夠高的物種，才需要進行恢復潛力評估(P)，而其中只有恢復潛力夠高的物種，才需要納入保育成本(C)的評估。最後才用以計算出排序(R)值。如此，可以</w:t>
      </w:r>
      <w:r w:rsidR="008F62E9">
        <w:rPr>
          <w:rFonts w:asciiTheme="minorEastAsia" w:hAnsiTheme="minorEastAsia" w:cs="Kinnari" w:hint="eastAsia"/>
          <w:color w:val="00000A"/>
          <w:sz w:val="24"/>
          <w:szCs w:val="24"/>
        </w:rPr>
        <w:t>在</w:t>
      </w:r>
      <w:r>
        <w:rPr>
          <w:rFonts w:ascii="Kinnari" w:eastAsia="Kinnari" w:hAnsi="Kinnari" w:cs="Kinnari"/>
          <w:color w:val="00000A"/>
          <w:sz w:val="24"/>
          <w:szCs w:val="24"/>
        </w:rPr>
        <w:t>實際評估所需</w:t>
      </w:r>
      <w:r w:rsidR="00D331FD">
        <w:rPr>
          <w:rFonts w:ascii="Kinnari" w:eastAsia="Kinnari" w:hAnsi="Kinnari" w:cs="Kinnari"/>
          <w:color w:val="00000A"/>
          <w:sz w:val="24"/>
          <w:szCs w:val="24"/>
        </w:rPr>
        <w:t>資料量減少</w:t>
      </w:r>
      <w:r>
        <w:rPr>
          <w:rFonts w:ascii="Kinnari" w:eastAsia="Kinnari" w:hAnsi="Kinnari" w:cs="Kinnari"/>
          <w:color w:val="00000A"/>
          <w:sz w:val="24"/>
          <w:szCs w:val="24"/>
        </w:rPr>
        <w:t>的同時，對於優先度較高的物種仍</w:t>
      </w:r>
      <w:r w:rsidR="00D331FD">
        <w:rPr>
          <w:rFonts w:ascii="Kinnari" w:hAnsi="Kinnari" w:cs="Kinnari" w:hint="eastAsia"/>
          <w:color w:val="00000A"/>
          <w:sz w:val="24"/>
          <w:szCs w:val="24"/>
        </w:rPr>
        <w:t>有</w:t>
      </w:r>
      <w:r>
        <w:rPr>
          <w:rFonts w:ascii="Kinnari" w:eastAsia="Kinnari" w:hAnsi="Kinnari" w:cs="Kinnari"/>
          <w:color w:val="00000A"/>
          <w:sz w:val="24"/>
          <w:szCs w:val="24"/>
        </w:rPr>
        <w:t>嚴謹的</w:t>
      </w:r>
      <w:r w:rsidR="00D331FD">
        <w:rPr>
          <w:rFonts w:ascii="Kinnari" w:eastAsia="Kinnari" w:hAnsi="Kinnari" w:cs="Kinnari"/>
          <w:color w:val="00000A"/>
          <w:sz w:val="24"/>
          <w:szCs w:val="24"/>
        </w:rPr>
        <w:t>評估</w:t>
      </w:r>
      <w:r>
        <w:rPr>
          <w:rFonts w:ascii="Kinnari" w:eastAsia="Kinnari" w:hAnsi="Kinnari" w:cs="Kinnari"/>
          <w:color w:val="00000A"/>
          <w:sz w:val="24"/>
          <w:szCs w:val="24"/>
        </w:rPr>
        <w:t>結果</w:t>
      </w:r>
      <w:r w:rsidR="00D331FD">
        <w:rPr>
          <w:rFonts w:ascii="Kinnari" w:eastAsia="Kinnari" w:hAnsi="Kinnari" w:cs="Kinnari"/>
          <w:color w:val="00000A"/>
          <w:sz w:val="24"/>
          <w:szCs w:val="24"/>
        </w:rPr>
        <w:t>，並且加速評估所需要的時間與人物力</w:t>
      </w:r>
      <w:r>
        <w:rPr>
          <w:rFonts w:ascii="新細明體" w:eastAsia="新細明體" w:hAnsi="新細明體" w:cs="新細明體"/>
          <w:color w:val="00000A"/>
          <w:sz w:val="24"/>
          <w:szCs w:val="24"/>
        </w:rPr>
        <w:t>。</w:t>
      </w:r>
    </w:p>
    <w:p w14:paraId="0F40CCD5" w14:textId="77777777" w:rsidR="002A1C85" w:rsidRDefault="002A1C85">
      <w:pPr>
        <w:pStyle w:val="10"/>
        <w:widowControl w:val="0"/>
        <w:spacing w:line="360" w:lineRule="auto"/>
        <w:jc w:val="both"/>
        <w:rPr>
          <w:ins w:id="13" w:author="Cheng-hsiung Yang" w:date="2016-11-21T01:29:00Z"/>
          <w:rFonts w:ascii="新細明體" w:eastAsia="新細明體" w:hAnsi="新細明體" w:cs="新細明體"/>
          <w:color w:val="00000A"/>
          <w:sz w:val="24"/>
          <w:szCs w:val="24"/>
        </w:rPr>
      </w:pPr>
    </w:p>
    <w:p w14:paraId="43FEC233" w14:textId="77777777" w:rsidR="00232CFB" w:rsidRDefault="001217C9">
      <w:pPr>
        <w:pStyle w:val="10"/>
        <w:widowControl w:val="0"/>
        <w:spacing w:line="360" w:lineRule="auto"/>
        <w:jc w:val="both"/>
        <w:rPr>
          <w:rFonts w:ascii="新細明體" w:eastAsia="新細明體" w:hAnsi="新細明體" w:cs="新細明體"/>
          <w:color w:val="FF0000"/>
          <w:sz w:val="24"/>
          <w:szCs w:val="24"/>
          <w:highlight w:val="yellow"/>
        </w:rPr>
      </w:pPr>
      <w:r>
        <w:rPr>
          <w:rFonts w:ascii="新細明體" w:eastAsia="新細明體" w:hAnsi="新細明體" w:cs="新細明體"/>
          <w:color w:val="FF0000"/>
          <w:sz w:val="24"/>
          <w:szCs w:val="24"/>
          <w:highlight w:val="yellow"/>
        </w:rPr>
        <w:t>(</w:t>
      </w:r>
      <w:r w:rsidR="00232CFB">
        <w:rPr>
          <w:rFonts w:ascii="新細明體" w:eastAsia="新細明體" w:hAnsi="新細明體" w:cs="新細明體"/>
          <w:color w:val="FF0000"/>
          <w:sz w:val="24"/>
          <w:szCs w:val="24"/>
          <w:highlight w:val="yellow"/>
        </w:rPr>
        <w:t>以</w:t>
      </w:r>
      <w:r>
        <w:rPr>
          <w:rFonts w:ascii="新細明體" w:eastAsia="新細明體" w:hAnsi="新細明體" w:cs="新細明體"/>
          <w:color w:val="FF0000"/>
          <w:sz w:val="24"/>
          <w:szCs w:val="24"/>
          <w:highlight w:val="yellow"/>
        </w:rPr>
        <w:t>模擬的</w:t>
      </w:r>
      <w:r w:rsidR="00232CFB">
        <w:rPr>
          <w:rFonts w:ascii="新細明體" w:eastAsia="新細明體" w:hAnsi="新細明體" w:cs="新細明體"/>
          <w:color w:val="FF0000"/>
          <w:sz w:val="24"/>
          <w:szCs w:val="24"/>
          <w:highlight w:val="yellow"/>
        </w:rPr>
        <w:t>方式探討，</w:t>
      </w:r>
      <w:r>
        <w:rPr>
          <w:rFonts w:ascii="新細明體" w:eastAsia="新細明體" w:hAnsi="新細明體" w:cs="新細明體"/>
          <w:color w:val="FF0000"/>
          <w:sz w:val="24"/>
          <w:szCs w:val="24"/>
          <w:highlight w:val="yellow"/>
        </w:rPr>
        <w:t>顯示</w:t>
      </w:r>
      <w:r w:rsidR="00232CFB">
        <w:rPr>
          <w:rFonts w:ascii="新細明體" w:eastAsia="新細明體" w:hAnsi="新細明體" w:cs="新細明體" w:hint="eastAsia"/>
          <w:color w:val="FF0000"/>
          <w:sz w:val="24"/>
          <w:szCs w:val="24"/>
          <w:highlight w:val="yellow"/>
        </w:rPr>
        <w:t>如果先進行</w:t>
      </w:r>
      <w:r w:rsidR="002A1C85" w:rsidRPr="008F62E9">
        <w:rPr>
          <w:rFonts w:ascii="新細明體" w:eastAsia="新細明體" w:hAnsi="新細明體" w:cs="新細明體"/>
          <w:b/>
          <w:color w:val="FF0000"/>
          <w:sz w:val="24"/>
          <w:szCs w:val="24"/>
          <w:highlight w:val="yellow"/>
          <w:u w:val="single"/>
        </w:rPr>
        <w:t>分層篩選</w:t>
      </w:r>
      <w:r w:rsidR="00232CFB">
        <w:rPr>
          <w:rFonts w:ascii="新細明體" w:eastAsia="新細明體" w:hAnsi="新細明體" w:cs="新細明體"/>
          <w:b/>
          <w:color w:val="FF0000"/>
          <w:sz w:val="24"/>
          <w:szCs w:val="24"/>
          <w:highlight w:val="yellow"/>
          <w:u w:val="single"/>
        </w:rPr>
        <w:t>的話，將</w:t>
      </w:r>
      <w:r>
        <w:rPr>
          <w:rFonts w:ascii="新細明體" w:eastAsia="新細明體" w:hAnsi="新細明體" w:cs="新細明體"/>
          <w:color w:val="FF0000"/>
          <w:sz w:val="24"/>
          <w:szCs w:val="24"/>
          <w:highlight w:val="yellow"/>
        </w:rPr>
        <w:t>會產生完全不一樣的排序結果，</w:t>
      </w:r>
      <w:r w:rsidR="00232CFB">
        <w:rPr>
          <w:rFonts w:ascii="新細明體" w:eastAsia="新細明體" w:hAnsi="新細明體" w:cs="新細明體"/>
          <w:color w:val="FF0000"/>
          <w:sz w:val="24"/>
          <w:szCs w:val="24"/>
          <w:highlight w:val="yellow"/>
        </w:rPr>
        <w:t>因為在</w:t>
      </w:r>
      <w:r>
        <w:rPr>
          <w:rFonts w:ascii="新細明體" w:eastAsia="新細明體" w:hAnsi="新細明體" w:cs="新細明體"/>
          <w:color w:val="FF0000"/>
          <w:sz w:val="24"/>
          <w:szCs w:val="24"/>
          <w:highlight w:val="yellow"/>
        </w:rPr>
        <w:t>篩選的過程</w:t>
      </w:r>
      <w:r w:rsidR="00232CFB">
        <w:rPr>
          <w:rFonts w:ascii="新細明體" w:eastAsia="新細明體" w:hAnsi="新細明體" w:cs="新細明體"/>
          <w:color w:val="FF0000"/>
          <w:sz w:val="24"/>
          <w:szCs w:val="24"/>
          <w:highlight w:val="yellow"/>
        </w:rPr>
        <w:t>中</w:t>
      </w:r>
      <w:commentRangeStart w:id="14"/>
      <w:r w:rsidR="00232CFB">
        <w:rPr>
          <w:rFonts w:ascii="新細明體" w:eastAsia="新細明體" w:hAnsi="新細明體" w:cs="新細明體"/>
          <w:color w:val="FF0000"/>
          <w:sz w:val="24"/>
          <w:szCs w:val="24"/>
          <w:highlight w:val="yellow"/>
        </w:rPr>
        <w:t>等於是</w:t>
      </w:r>
      <w:commentRangeEnd w:id="14"/>
      <w:r w:rsidR="00232CFB">
        <w:rPr>
          <w:rStyle w:val="ad"/>
        </w:rPr>
        <w:commentReference w:id="14"/>
      </w:r>
      <w:r>
        <w:rPr>
          <w:rFonts w:ascii="新細明體" w:eastAsia="新細明體" w:hAnsi="新細明體" w:cs="新細明體"/>
          <w:color w:val="FF0000"/>
          <w:sz w:val="24"/>
          <w:szCs w:val="24"/>
          <w:highlight w:val="yellow"/>
        </w:rPr>
        <w:t>間接的給予</w:t>
      </w:r>
      <w:r>
        <w:rPr>
          <w:rFonts w:ascii="Kinnari" w:eastAsia="Kinnari" w:hAnsi="Kinnari" w:cs="Kinnari"/>
          <w:color w:val="FF0000"/>
          <w:sz w:val="24"/>
          <w:szCs w:val="24"/>
          <w:highlight w:val="yellow"/>
        </w:rPr>
        <w:t>V、P</w:t>
      </w:r>
      <w:r>
        <w:rPr>
          <w:rFonts w:ascii="新細明體" w:eastAsia="新細明體" w:hAnsi="新細明體" w:cs="新細明體"/>
          <w:color w:val="FF0000"/>
          <w:sz w:val="24"/>
          <w:szCs w:val="24"/>
          <w:highlight w:val="yellow"/>
        </w:rPr>
        <w:t>不同的加權，因此會得到完全不同的結果</w:t>
      </w:r>
    </w:p>
    <w:p w14:paraId="1F6CE88F"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lastRenderedPageBreak/>
        <w:t>使用定性</w:t>
      </w:r>
      <w:r w:rsidR="0056452D">
        <w:rPr>
          <w:rFonts w:ascii="Kinnari" w:eastAsia="Kinnari" w:hAnsi="Kinnari" w:cs="Kinnari"/>
          <w:color w:val="00000A"/>
          <w:sz w:val="24"/>
          <w:szCs w:val="24"/>
        </w:rPr>
        <w:t>方式</w:t>
      </w:r>
      <w:r>
        <w:rPr>
          <w:rFonts w:ascii="Kinnari" w:eastAsia="Kinnari" w:hAnsi="Kinnari" w:cs="Kinnari"/>
          <w:color w:val="00000A"/>
          <w:sz w:val="24"/>
          <w:szCs w:val="24"/>
        </w:rPr>
        <w:t>進行保育優先順序的排定，是一個頗為常見的方式。特別是在個別物種實際資料難以取得的狀況下，以專家</w:t>
      </w:r>
      <w:r w:rsidR="0056452D">
        <w:rPr>
          <w:rFonts w:ascii="Kinnari" w:eastAsia="Kinnari" w:hAnsi="Kinnari" w:cs="Kinnari"/>
          <w:color w:val="00000A"/>
          <w:sz w:val="24"/>
          <w:szCs w:val="24"/>
        </w:rPr>
        <w:t>意見或會議形式進行</w:t>
      </w:r>
      <w:r>
        <w:rPr>
          <w:rFonts w:ascii="Kinnari" w:eastAsia="Kinnari" w:hAnsi="Kinnari" w:cs="Kinnari"/>
          <w:color w:val="00000A"/>
          <w:sz w:val="24"/>
          <w:szCs w:val="24"/>
        </w:rPr>
        <w:t>評估並給予等第的方式十分常見，</w:t>
      </w:r>
      <w:r w:rsidR="0056452D">
        <w:rPr>
          <w:rFonts w:ascii="Kinnari" w:eastAsia="Kinnari" w:hAnsi="Kinnari" w:cs="Kinnari"/>
          <w:color w:val="00000A"/>
          <w:sz w:val="24"/>
          <w:szCs w:val="24"/>
        </w:rPr>
        <w:t>有文獻指出</w:t>
      </w:r>
      <w:r>
        <w:rPr>
          <w:rFonts w:ascii="Kinnari" w:eastAsia="Kinnari" w:hAnsi="Kinnari" w:cs="Kinnari"/>
          <w:color w:val="00000A"/>
          <w:sz w:val="24"/>
          <w:szCs w:val="24"/>
        </w:rPr>
        <w:t>這</w:t>
      </w:r>
      <w:r w:rsidR="0056452D">
        <w:rPr>
          <w:rFonts w:ascii="Kinnari" w:hAnsi="Kinnari" w:cs="Kinnari" w:hint="eastAsia"/>
          <w:color w:val="00000A"/>
          <w:sz w:val="24"/>
          <w:szCs w:val="24"/>
        </w:rPr>
        <w:t>種方式屬</w:t>
      </w:r>
      <w:r>
        <w:rPr>
          <w:rFonts w:ascii="Kinnari" w:eastAsia="Kinnari" w:hAnsi="Kinnari" w:cs="Kinnari"/>
          <w:color w:val="00000A"/>
          <w:sz w:val="24"/>
          <w:szCs w:val="24"/>
        </w:rPr>
        <w:t>隨意性(arbitrariness)(Game 2013)</w:t>
      </w:r>
      <w:r w:rsidR="0056452D">
        <w:rPr>
          <w:rFonts w:ascii="Kinnari" w:eastAsia="Kinnari" w:hAnsi="Kinnari" w:cs="Kinnari"/>
          <w:color w:val="00000A"/>
          <w:sz w:val="24"/>
          <w:szCs w:val="24"/>
        </w:rPr>
        <w:t>，因此</w:t>
      </w:r>
      <w:r>
        <w:rPr>
          <w:rFonts w:ascii="Kinnari" w:eastAsia="Kinnari" w:hAnsi="Kinnari" w:cs="Kinnari"/>
          <w:color w:val="00000A"/>
          <w:sz w:val="24"/>
          <w:szCs w:val="24"/>
        </w:rPr>
        <w:t>往往是</w:t>
      </w:r>
      <w:r w:rsidR="0056452D">
        <w:rPr>
          <w:rFonts w:ascii="Kinnari" w:eastAsia="Kinnari" w:hAnsi="Kinnari" w:cs="Kinnari"/>
          <w:color w:val="00000A"/>
          <w:sz w:val="24"/>
          <w:szCs w:val="24"/>
        </w:rPr>
        <w:t>受到</w:t>
      </w:r>
      <w:r>
        <w:rPr>
          <w:rFonts w:ascii="Kinnari" w:eastAsia="Kinnari" w:hAnsi="Kinnari" w:cs="Kinnari"/>
          <w:color w:val="00000A"/>
          <w:sz w:val="24"/>
          <w:szCs w:val="24"/>
        </w:rPr>
        <w:t>批評或是</w:t>
      </w:r>
      <w:r w:rsidR="0056452D">
        <w:rPr>
          <w:rFonts w:ascii="Kinnari" w:eastAsia="Kinnari" w:hAnsi="Kinnari" w:cs="Kinnari"/>
          <w:color w:val="00000A"/>
          <w:sz w:val="24"/>
          <w:szCs w:val="24"/>
        </w:rPr>
        <w:t>認為</w:t>
      </w:r>
      <w:r>
        <w:rPr>
          <w:rFonts w:ascii="Kinnari" w:eastAsia="Kinnari" w:hAnsi="Kinnari" w:cs="Kinnari"/>
          <w:color w:val="00000A"/>
          <w:sz w:val="24"/>
          <w:szCs w:val="24"/>
        </w:rPr>
        <w:t>結果</w:t>
      </w:r>
      <w:r w:rsidR="0056452D">
        <w:rPr>
          <w:rFonts w:ascii="Kinnari" w:eastAsia="Kinnari" w:hAnsi="Kinnari" w:cs="Kinnari"/>
          <w:color w:val="00000A"/>
          <w:sz w:val="24"/>
          <w:szCs w:val="24"/>
        </w:rPr>
        <w:t>不夠客觀</w:t>
      </w:r>
      <w:r>
        <w:rPr>
          <w:rFonts w:ascii="Kinnari" w:eastAsia="Kinnari" w:hAnsi="Kinnari" w:cs="Kinnari"/>
          <w:color w:val="00000A"/>
          <w:sz w:val="24"/>
          <w:szCs w:val="24"/>
        </w:rPr>
        <w:t>。本研究</w:t>
      </w:r>
      <w:r w:rsidR="0056452D">
        <w:rPr>
          <w:rFonts w:ascii="Kinnari" w:eastAsia="Kinnari" w:hAnsi="Kinnari" w:cs="Kinnari"/>
          <w:color w:val="00000A"/>
          <w:sz w:val="24"/>
          <w:szCs w:val="24"/>
        </w:rPr>
        <w:t>因此</w:t>
      </w:r>
      <w:r>
        <w:rPr>
          <w:rFonts w:ascii="Kinnari" w:eastAsia="Kinnari" w:hAnsi="Kinnari" w:cs="Kinnari"/>
          <w:color w:val="00000A"/>
          <w:sz w:val="24"/>
          <w:szCs w:val="24"/>
        </w:rPr>
        <w:t>認為</w:t>
      </w:r>
      <w:r w:rsidR="0056452D">
        <w:rPr>
          <w:rFonts w:ascii="Kinnari" w:eastAsia="Kinnari" w:hAnsi="Kinnari" w:cs="Kinnari"/>
          <w:color w:val="00000A"/>
          <w:sz w:val="24"/>
          <w:szCs w:val="24"/>
        </w:rPr>
        <w:t>應該</w:t>
      </w:r>
      <w:r>
        <w:rPr>
          <w:rFonts w:ascii="Kinnari" w:eastAsia="Kinnari" w:hAnsi="Kinnari" w:cs="Kinnari"/>
          <w:color w:val="00000A"/>
          <w:sz w:val="24"/>
          <w:szCs w:val="24"/>
        </w:rPr>
        <w:t>納入具有數學合理性的公式</w:t>
      </w:r>
      <w:r w:rsidR="0056452D">
        <w:rPr>
          <w:rFonts w:ascii="Kinnari" w:hAnsi="Kinnari" w:cs="Kinnari" w:hint="eastAsia"/>
          <w:color w:val="00000A"/>
          <w:sz w:val="24"/>
          <w:szCs w:val="24"/>
        </w:rPr>
        <w:t>(</w:t>
      </w:r>
      <w:r w:rsidR="0056452D">
        <w:rPr>
          <w:rFonts w:ascii="Kinnari" w:hAnsi="Kinnari" w:cs="Kinnari" w:hint="eastAsia"/>
          <w:color w:val="00000A"/>
          <w:sz w:val="24"/>
          <w:szCs w:val="24"/>
        </w:rPr>
        <w:t>如公式</w:t>
      </w:r>
      <w:r w:rsidR="0056452D">
        <w:rPr>
          <w:rFonts w:ascii="Kinnari" w:hAnsi="Kinnari" w:cs="Kinnari" w:hint="eastAsia"/>
          <w:color w:val="00000A"/>
          <w:sz w:val="24"/>
          <w:szCs w:val="24"/>
        </w:rPr>
        <w:t>1)</w:t>
      </w:r>
      <w:r>
        <w:rPr>
          <w:rFonts w:ascii="Kinnari" w:eastAsia="Kinnari" w:hAnsi="Kinnari" w:cs="Kinnari"/>
          <w:color w:val="00000A"/>
          <w:sz w:val="24"/>
          <w:szCs w:val="24"/>
        </w:rPr>
        <w:t>建構系統，</w:t>
      </w:r>
      <w:r w:rsidR="0056452D">
        <w:rPr>
          <w:rFonts w:ascii="Kinnari" w:hAnsi="Kinnari" w:cs="Kinnari" w:hint="eastAsia"/>
          <w:color w:val="00000A"/>
          <w:sz w:val="24"/>
          <w:szCs w:val="24"/>
        </w:rPr>
        <w:t>以</w:t>
      </w:r>
      <w:r>
        <w:rPr>
          <w:rFonts w:ascii="Kinnari" w:eastAsia="Kinnari" w:hAnsi="Kinnari" w:cs="Kinnari"/>
          <w:color w:val="00000A"/>
          <w:sz w:val="24"/>
          <w:szCs w:val="24"/>
        </w:rPr>
        <w:t>避免此</w:t>
      </w:r>
      <w:r w:rsidR="0056452D">
        <w:rPr>
          <w:rFonts w:ascii="Kinnari" w:eastAsia="Kinnari" w:hAnsi="Kinnari" w:cs="Kinnari"/>
          <w:color w:val="00000A"/>
          <w:sz w:val="24"/>
          <w:szCs w:val="24"/>
        </w:rPr>
        <w:t>類</w:t>
      </w:r>
      <w:r>
        <w:rPr>
          <w:rFonts w:ascii="Kinnari" w:eastAsia="Kinnari" w:hAnsi="Kinnari" w:cs="Kinnari"/>
          <w:color w:val="00000A"/>
          <w:sz w:val="24"/>
          <w:szCs w:val="24"/>
        </w:rPr>
        <w:t>問題。外加透過引入定性指標來獲得個別物種V、P、C的排序數值，以及分層篩選的</w:t>
      </w:r>
      <w:r w:rsidR="0056452D">
        <w:rPr>
          <w:rFonts w:ascii="Kinnari" w:hAnsi="Kinnari" w:cs="Kinnari" w:hint="eastAsia"/>
          <w:color w:val="00000A"/>
          <w:sz w:val="24"/>
          <w:szCs w:val="24"/>
        </w:rPr>
        <w:t>方法</w:t>
      </w:r>
      <w:r>
        <w:rPr>
          <w:rFonts w:ascii="Kinnari" w:eastAsia="Kinnari" w:hAnsi="Kinnari" w:cs="Kinnari"/>
          <w:color w:val="00000A"/>
          <w:sz w:val="24"/>
          <w:szCs w:val="24"/>
        </w:rPr>
        <w:t>，</w:t>
      </w:r>
      <w:r w:rsidR="0056452D">
        <w:rPr>
          <w:rFonts w:ascii="Kinnari" w:eastAsia="Kinnari" w:hAnsi="Kinnari" w:cs="Kinnari"/>
          <w:color w:val="00000A"/>
          <w:sz w:val="24"/>
          <w:szCs w:val="24"/>
        </w:rPr>
        <w:t>或許可以解決這類問題所面臨的兩難，而</w:t>
      </w:r>
      <w:r>
        <w:rPr>
          <w:rFonts w:ascii="Kinnari" w:eastAsia="Kinnari" w:hAnsi="Kinnari" w:cs="Kinnari"/>
          <w:color w:val="00000A"/>
          <w:sz w:val="24"/>
          <w:szCs w:val="24"/>
        </w:rPr>
        <w:t>可</w:t>
      </w:r>
      <w:r w:rsidR="0056452D">
        <w:rPr>
          <w:rFonts w:ascii="Kinnari" w:hAnsi="Kinnari" w:cs="Kinnari" w:hint="eastAsia"/>
          <w:color w:val="00000A"/>
          <w:sz w:val="24"/>
          <w:szCs w:val="24"/>
        </w:rPr>
        <w:t>快速獲得</w:t>
      </w:r>
      <w:r>
        <w:rPr>
          <w:rFonts w:ascii="Kinnari" w:eastAsia="Kinnari" w:hAnsi="Kinnari" w:cs="Kinnari"/>
          <w:color w:val="00000A"/>
          <w:sz w:val="24"/>
          <w:szCs w:val="24"/>
        </w:rPr>
        <w:t>具合理、客觀、又具實用性的保育優先順序排序</w:t>
      </w:r>
      <w:r w:rsidR="0056452D">
        <w:rPr>
          <w:rFonts w:ascii="Kinnari" w:hAnsi="Kinnari" w:cs="Kinnari" w:hint="eastAsia"/>
          <w:color w:val="00000A"/>
          <w:sz w:val="24"/>
          <w:szCs w:val="24"/>
        </w:rPr>
        <w:t>結果</w:t>
      </w:r>
      <w:r>
        <w:rPr>
          <w:rFonts w:ascii="Kinnari" w:eastAsia="Kinnari" w:hAnsi="Kinnari" w:cs="Kinnari"/>
          <w:color w:val="00000A"/>
          <w:sz w:val="24"/>
          <w:szCs w:val="24"/>
        </w:rPr>
        <w:t>。</w:t>
      </w:r>
    </w:p>
    <w:p w14:paraId="30227B1C"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p>
    <w:p w14:paraId="35D9ADC0"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r w:rsidRPr="008F62E9">
        <w:rPr>
          <w:rFonts w:ascii="Kinnari" w:eastAsia="Kinnari" w:hAnsi="Kinnari" w:cs="Kinnari"/>
          <w:color w:val="00000A"/>
          <w:sz w:val="24"/>
          <w:szCs w:val="24"/>
        </w:rPr>
        <w:t>本研究嘗試透過以下步驟進行案例實作(？)</w:t>
      </w:r>
    </w:p>
    <w:p w14:paraId="7AEB6AA6" w14:textId="77777777" w:rsidR="002A1C85" w:rsidRDefault="002A1C85">
      <w:pPr>
        <w:pStyle w:val="10"/>
        <w:widowControl w:val="0"/>
        <w:spacing w:line="360" w:lineRule="auto"/>
        <w:jc w:val="both"/>
        <w:rPr>
          <w:rFonts w:ascii="Kinnari" w:eastAsia="Kinnari" w:hAnsi="Kinnari" w:cs="Kinnari"/>
          <w:color w:val="00000A"/>
          <w:sz w:val="24"/>
          <w:szCs w:val="24"/>
        </w:rPr>
      </w:pPr>
    </w:p>
    <w:p w14:paraId="34676295"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針對</w:t>
      </w:r>
      <w:r w:rsidR="007E4B91">
        <w:rPr>
          <w:rFonts w:ascii="Kinnari" w:eastAsia="Kinnari" w:hAnsi="Kinnari" w:cs="Kinnari"/>
          <w:color w:val="00000A"/>
          <w:sz w:val="24"/>
          <w:szCs w:val="24"/>
        </w:rPr>
        <w:t>前述的想法所規劃的</w:t>
      </w:r>
      <w:r>
        <w:rPr>
          <w:rFonts w:ascii="Kinnari" w:eastAsia="Kinnari" w:hAnsi="Kinnari" w:cs="Kinnari"/>
          <w:color w:val="00000A"/>
          <w:sz w:val="24"/>
          <w:szCs w:val="24"/>
        </w:rPr>
        <w:t>實作流程</w:t>
      </w:r>
      <w:r w:rsidR="007E4B91">
        <w:rPr>
          <w:rFonts w:ascii="Kinnari" w:eastAsia="Kinnari" w:hAnsi="Kinnari" w:cs="Kinnari"/>
          <w:color w:val="00000A"/>
          <w:sz w:val="24"/>
          <w:szCs w:val="24"/>
        </w:rPr>
        <w:t>，以及流程中必須考慮到的</w:t>
      </w:r>
      <w:r>
        <w:rPr>
          <w:rFonts w:ascii="Kinnari" w:eastAsia="Kinnari" w:hAnsi="Kinnari" w:cs="Kinnari"/>
          <w:color w:val="00000A"/>
          <w:sz w:val="24"/>
          <w:szCs w:val="24"/>
        </w:rPr>
        <w:t>物種保育價值</w:t>
      </w:r>
      <w:r w:rsidR="007E4B91">
        <w:rPr>
          <w:rFonts w:ascii="Kinnari" w:hAnsi="Kinnari" w:cs="Kinnari" w:hint="eastAsia"/>
          <w:color w:val="00000A"/>
          <w:sz w:val="24"/>
          <w:szCs w:val="24"/>
        </w:rPr>
        <w:t>(V)</w:t>
      </w:r>
      <w:r>
        <w:rPr>
          <w:rFonts w:ascii="Kinnari" w:eastAsia="Kinnari" w:hAnsi="Kinnari" w:cs="Kinnari"/>
          <w:color w:val="00000A"/>
          <w:sz w:val="24"/>
          <w:szCs w:val="24"/>
        </w:rPr>
        <w:t>、恢復潛力</w:t>
      </w:r>
      <w:r w:rsidR="007E4B91">
        <w:rPr>
          <w:rFonts w:ascii="Kinnari" w:hAnsi="Kinnari" w:cs="Kinnari" w:hint="eastAsia"/>
          <w:color w:val="00000A"/>
          <w:sz w:val="24"/>
          <w:szCs w:val="24"/>
        </w:rPr>
        <w:t>(P)</w:t>
      </w:r>
      <w:r>
        <w:rPr>
          <w:rFonts w:ascii="Kinnari" w:eastAsia="Kinnari" w:hAnsi="Kinnari" w:cs="Kinnari"/>
          <w:color w:val="00000A"/>
          <w:sz w:val="24"/>
          <w:szCs w:val="24"/>
        </w:rPr>
        <w:t>及保育成本</w:t>
      </w:r>
      <w:r w:rsidR="007E4B91">
        <w:rPr>
          <w:rFonts w:ascii="Kinnari" w:hAnsi="Kinnari" w:cs="Kinnari" w:hint="eastAsia"/>
          <w:color w:val="00000A"/>
          <w:sz w:val="24"/>
          <w:szCs w:val="24"/>
        </w:rPr>
        <w:t>(C)</w:t>
      </w:r>
      <w:r w:rsidR="007E4B91">
        <w:rPr>
          <w:rFonts w:ascii="Kinnari" w:hAnsi="Kinnari" w:cs="Kinnari" w:hint="eastAsia"/>
          <w:color w:val="00000A"/>
          <w:sz w:val="24"/>
          <w:szCs w:val="24"/>
        </w:rPr>
        <w:t>的</w:t>
      </w:r>
      <w:r>
        <w:rPr>
          <w:rFonts w:ascii="Kinnari" w:eastAsia="Kinnari" w:hAnsi="Kinnari" w:cs="Kinnari"/>
          <w:color w:val="00000A"/>
          <w:sz w:val="24"/>
          <w:szCs w:val="24"/>
        </w:rPr>
        <w:t>評估</w:t>
      </w:r>
      <w:r w:rsidR="007E4B91">
        <w:rPr>
          <w:rFonts w:ascii="Kinnari" w:eastAsia="Kinnari" w:hAnsi="Kinnari" w:cs="Kinnari"/>
          <w:color w:val="00000A"/>
          <w:sz w:val="24"/>
          <w:szCs w:val="24"/>
        </w:rPr>
        <w:t>做一</w:t>
      </w:r>
      <w:r w:rsidR="007E4B91">
        <w:rPr>
          <w:rFonts w:ascii="Kinnari" w:hAnsi="Kinnari" w:cs="Kinnari" w:hint="eastAsia"/>
          <w:color w:val="00000A"/>
          <w:sz w:val="24"/>
          <w:szCs w:val="24"/>
        </w:rPr>
        <w:t>比較詳盡的</w:t>
      </w:r>
      <w:r>
        <w:rPr>
          <w:rFonts w:ascii="Kinnari" w:eastAsia="Kinnari" w:hAnsi="Kinnari" w:cs="Kinnari"/>
          <w:color w:val="00000A"/>
          <w:sz w:val="24"/>
          <w:szCs w:val="24"/>
        </w:rPr>
        <w:t>介紹</w:t>
      </w:r>
      <w:r w:rsidR="007E4B91">
        <w:rPr>
          <w:rFonts w:ascii="Kinnari" w:eastAsia="Kinnari" w:hAnsi="Kinnari" w:cs="Kinnari"/>
          <w:color w:val="00000A"/>
          <w:sz w:val="24"/>
          <w:szCs w:val="24"/>
        </w:rPr>
        <w:t>如下：</w:t>
      </w:r>
      <w:r w:rsidR="007E4B91" w:rsidDel="007E4B91">
        <w:rPr>
          <w:rFonts w:ascii="Kinnari" w:eastAsia="Kinnari" w:hAnsi="Kinnari" w:cs="Kinnari"/>
          <w:color w:val="00000A"/>
          <w:sz w:val="24"/>
          <w:szCs w:val="24"/>
        </w:rPr>
        <w:t xml:space="preserve"> </w:t>
      </w:r>
    </w:p>
    <w:p w14:paraId="7D3DC6C4"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45FF48D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&lt;實行流程&gt;</w:t>
      </w:r>
    </w:p>
    <w:p w14:paraId="6D9A087D" w14:textId="77777777" w:rsidR="002A1C85" w:rsidRPr="008F62E9" w:rsidRDefault="001217C9">
      <w:pPr>
        <w:pStyle w:val="10"/>
        <w:widowControl w:val="0"/>
        <w:spacing w:line="360" w:lineRule="auto"/>
        <w:jc w:val="both"/>
        <w:rPr>
          <w:rFonts w:ascii="新細明體" w:hAnsi="新細明體" w:cs="新細明體"/>
          <w:color w:val="00000A"/>
          <w:sz w:val="24"/>
          <w:szCs w:val="24"/>
        </w:rPr>
      </w:pPr>
      <w:r>
        <w:rPr>
          <w:rFonts w:ascii="Kinnari" w:eastAsia="Kinnari" w:hAnsi="Kinnari" w:cs="Kinnari"/>
          <w:color w:val="00000A"/>
          <w:sz w:val="24"/>
          <w:szCs w:val="24"/>
        </w:rPr>
        <w:t>保育優先順序的排序工作本身可以視為是一套篩選機制，亦即從眾多受脅物種清單</w:t>
      </w:r>
      <w:r>
        <w:rPr>
          <w:rFonts w:ascii="Kinnari" w:hAnsi="Kinnari" w:cs="Kinnari" w:hint="eastAsia"/>
          <w:color w:val="00000A"/>
          <w:sz w:val="24"/>
          <w:szCs w:val="24"/>
        </w:rPr>
        <w:t>逐</w:t>
      </w:r>
      <w:r>
        <w:rPr>
          <w:rFonts w:ascii="Kinnari" w:eastAsia="Kinnari" w:hAnsi="Kinnari" w:cs="Kinnari"/>
          <w:color w:val="00000A"/>
          <w:sz w:val="24"/>
          <w:szCs w:val="24"/>
        </w:rPr>
        <w:t>步篩選到最後針對數個物種編撰保育行動計畫的過程。從保育價值、恢復潛力、保育成本三個層面逐步篩選，而針對最後剩下的物種再來規劃保育計畫、實施行動，本研究建議其流程步驟如下</w:t>
      </w:r>
      <w:r>
        <w:rPr>
          <w:rFonts w:ascii="Kinnari" w:hAnsi="Kinnari" w:cs="Kinnari" w:hint="eastAsia"/>
          <w:color w:val="00000A"/>
          <w:sz w:val="24"/>
          <w:szCs w:val="24"/>
        </w:rPr>
        <w:t>：</w:t>
      </w:r>
    </w:p>
    <w:p w14:paraId="49449FF1" w14:textId="77777777" w:rsidR="002A1C85" w:rsidRDefault="002A1C85">
      <w:pPr>
        <w:pStyle w:val="10"/>
        <w:widowControl w:val="0"/>
        <w:spacing w:line="360" w:lineRule="auto"/>
        <w:jc w:val="both"/>
        <w:rPr>
          <w:rFonts w:ascii="Kinnari" w:eastAsia="Kinnari" w:hAnsi="Kinnari" w:cs="Kinnari"/>
          <w:color w:val="00000A"/>
          <w:sz w:val="24"/>
          <w:szCs w:val="24"/>
        </w:rPr>
      </w:pPr>
    </w:p>
    <w:p w14:paraId="68B8B631"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步驟一: 定義目標</w:t>
      </w:r>
    </w:p>
    <w:p w14:paraId="1132673F" w14:textId="77777777" w:rsidR="002A1C85" w:rsidRDefault="001217C9">
      <w:pPr>
        <w:pStyle w:val="10"/>
        <w:widowControl w:val="0"/>
        <w:spacing w:line="360" w:lineRule="auto"/>
        <w:jc w:val="both"/>
        <w:rPr>
          <w:rFonts w:ascii="Calibri" w:eastAsia="Calibri" w:hAnsi="Calibri" w:cs="Calibri"/>
          <w:color w:val="00000A"/>
          <w:sz w:val="24"/>
          <w:szCs w:val="24"/>
        </w:rPr>
      </w:pPr>
      <w:bookmarkStart w:id="15" w:name="_gjdgxs" w:colFirst="0" w:colLast="0"/>
      <w:bookmarkEnd w:id="15"/>
      <w:commentRangeStart w:id="16"/>
      <w:r>
        <w:rPr>
          <w:rFonts w:ascii="Kinnari" w:eastAsia="Kinnari" w:hAnsi="Kinnari" w:cs="Kinnari"/>
          <w:color w:val="00000A"/>
          <w:sz w:val="24"/>
          <w:szCs w:val="24"/>
        </w:rPr>
        <w:t>「保育受脅物種」不再是空泛的名詞，而是能夠讓該保育團隊更進一步的釐清</w:t>
      </w:r>
      <w:r>
        <w:rPr>
          <w:rFonts w:ascii="新細明體" w:eastAsia="新細明體" w:hAnsi="新細明體" w:cs="新細明體"/>
          <w:color w:val="00000A"/>
          <w:sz w:val="24"/>
          <w:szCs w:val="24"/>
        </w:rPr>
        <w:t>各</w:t>
      </w:r>
      <w:r>
        <w:rPr>
          <w:rFonts w:ascii="Kinnari" w:eastAsia="Kinnari" w:hAnsi="Kinnari" w:cs="Kinnari"/>
          <w:color w:val="00000A"/>
          <w:sz w:val="24"/>
          <w:szCs w:val="24"/>
        </w:rPr>
        <w:t>受脅物種的(一)保育優先順序、(二)保育重要性、(三)族群恢復可能性、(四)保育成本。這些資訊可以提供保育單位</w:t>
      </w:r>
      <w:r>
        <w:rPr>
          <w:rFonts w:ascii="新細明體" w:eastAsia="新細明體" w:hAnsi="新細明體" w:cs="新細明體"/>
          <w:color w:val="00000A"/>
          <w:sz w:val="24"/>
          <w:szCs w:val="24"/>
        </w:rPr>
        <w:t>提</w:t>
      </w:r>
      <w:r>
        <w:rPr>
          <w:rFonts w:ascii="Kinnari" w:eastAsia="Kinnari" w:hAnsi="Kinnari" w:cs="Kinnari"/>
          <w:color w:val="00000A"/>
          <w:sz w:val="24"/>
          <w:szCs w:val="24"/>
        </w:rPr>
        <w:t>出更具體、有效的保育資源分配方案，以進行下一步的規劃，最後實際地採取有效的保育行動。</w:t>
      </w:r>
      <w:commentRangeEnd w:id="16"/>
      <w:r w:rsidR="00EC6758">
        <w:rPr>
          <w:rStyle w:val="ad"/>
        </w:rPr>
        <w:commentReference w:id="16"/>
      </w:r>
    </w:p>
    <w:p w14:paraId="55AF8F83" w14:textId="77777777" w:rsidR="002A1C85" w:rsidRDefault="002A1C85">
      <w:pPr>
        <w:pStyle w:val="10"/>
        <w:widowControl w:val="0"/>
        <w:spacing w:line="360" w:lineRule="auto"/>
        <w:jc w:val="both"/>
        <w:rPr>
          <w:rFonts w:ascii="Kinnari" w:eastAsia="Kinnari" w:hAnsi="Kinnari" w:cs="Kinnari"/>
          <w:color w:val="00000A"/>
          <w:sz w:val="24"/>
          <w:szCs w:val="24"/>
        </w:rPr>
      </w:pPr>
    </w:p>
    <w:p w14:paraId="4B217433"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lastRenderedPageBreak/>
        <w:t>步驟二: 獲得受脅物種評估清單</w:t>
      </w:r>
    </w:p>
    <w:p w14:paraId="5D7399AC" w14:textId="77777777" w:rsidR="002A1C85" w:rsidRDefault="00EC6758">
      <w:pPr>
        <w:pStyle w:val="10"/>
        <w:widowControl w:val="0"/>
        <w:spacing w:line="360" w:lineRule="auto"/>
        <w:jc w:val="both"/>
        <w:rPr>
          <w:rFonts w:ascii="Calibri" w:eastAsia="Calibri" w:hAnsi="Calibri" w:cs="Calibri"/>
          <w:color w:val="00000A"/>
          <w:sz w:val="24"/>
          <w:szCs w:val="24"/>
        </w:rPr>
      </w:pPr>
      <w:ins w:id="17" w:author="lenovo" w:date="2017-04-19T16:38:00Z">
        <w:r>
          <w:rPr>
            <w:rFonts w:ascii="Kinnari" w:eastAsia="Kinnari" w:hAnsi="Kinnari" w:cs="Kinnari"/>
            <w:color w:val="00000A"/>
            <w:sz w:val="24"/>
            <w:szCs w:val="24"/>
          </w:rPr>
          <w:t>目標確定之後</w:t>
        </w:r>
        <w:r>
          <w:rPr>
            <w:rFonts w:ascii="Kinnari" w:hAnsi="Kinnari" w:cs="Kinnari" w:hint="eastAsia"/>
            <w:color w:val="00000A"/>
            <w:sz w:val="24"/>
            <w:szCs w:val="24"/>
          </w:rPr>
          <w:t>(</w:t>
        </w:r>
        <w:r>
          <w:rPr>
            <w:rFonts w:ascii="Kinnari" w:hAnsi="Kinnari" w:cs="Kinnari" w:hint="eastAsia"/>
            <w:color w:val="00000A"/>
            <w:sz w:val="24"/>
            <w:szCs w:val="24"/>
          </w:rPr>
          <w:t>？</w:t>
        </w:r>
        <w:r>
          <w:rPr>
            <w:rFonts w:ascii="Kinnari" w:hAnsi="Kinnari" w:cs="Kinnari" w:hint="eastAsia"/>
            <w:color w:val="00000A"/>
            <w:sz w:val="24"/>
            <w:szCs w:val="24"/>
          </w:rPr>
          <w:t>)</w:t>
        </w:r>
        <w:r>
          <w:rPr>
            <w:rFonts w:ascii="Kinnari" w:hAnsi="Kinnari" w:cs="Kinnari" w:hint="eastAsia"/>
            <w:color w:val="00000A"/>
            <w:sz w:val="24"/>
            <w:szCs w:val="24"/>
          </w:rPr>
          <w:t>，必須要先得到</w:t>
        </w:r>
      </w:ins>
      <w:ins w:id="18" w:author="lenovo" w:date="2017-04-19T15:39:00Z">
        <w:r w:rsidR="001217C9">
          <w:rPr>
            <w:rFonts w:ascii="Kinnari" w:eastAsia="Kinnari" w:hAnsi="Kinnari" w:cs="Kinnari"/>
            <w:color w:val="00000A"/>
            <w:sz w:val="24"/>
            <w:szCs w:val="24"/>
          </w:rPr>
          <w:t>紅皮書</w:t>
        </w:r>
      </w:ins>
      <w:ins w:id="19" w:author="lenovo" w:date="2017-04-19T16:38:00Z">
        <w:r>
          <w:rPr>
            <w:rFonts w:ascii="Kinnari" w:eastAsia="Kinnari" w:hAnsi="Kinnari" w:cs="Kinnari"/>
            <w:color w:val="00000A"/>
            <w:sz w:val="24"/>
            <w:szCs w:val="24"/>
          </w:rPr>
          <w:t>名錄，再</w:t>
        </w:r>
      </w:ins>
      <w:r w:rsidR="001217C9">
        <w:rPr>
          <w:rFonts w:ascii="Kinnari" w:eastAsia="Kinnari" w:hAnsi="Kinnari" w:cs="Kinnari"/>
          <w:color w:val="00000A"/>
          <w:sz w:val="24"/>
          <w:szCs w:val="24"/>
        </w:rPr>
        <w:t>從已完成評估名錄中，挑選受脅程度較高的物種(例如</w:t>
      </w:r>
      <w:r>
        <w:rPr>
          <w:rFonts w:ascii="Kinnari" w:eastAsia="Kinnari" w:hAnsi="Kinnari" w:cs="Kinnari"/>
          <w:color w:val="00000A"/>
          <w:sz w:val="24"/>
          <w:szCs w:val="24"/>
        </w:rPr>
        <w:t>：選擇</w:t>
      </w:r>
      <w:r w:rsidR="001217C9">
        <w:rPr>
          <w:rFonts w:ascii="Kinnari" w:eastAsia="Kinnari" w:hAnsi="Kinnari" w:cs="Kinnari"/>
          <w:color w:val="00000A"/>
          <w:sz w:val="24"/>
          <w:szCs w:val="24"/>
        </w:rPr>
        <w:t>淡水魚紅皮書中</w:t>
      </w:r>
      <w:r>
        <w:rPr>
          <w:rFonts w:ascii="Kinnari" w:eastAsia="Kinnari" w:hAnsi="Kinnari" w:cs="Kinnari"/>
          <w:color w:val="00000A"/>
          <w:sz w:val="24"/>
          <w:szCs w:val="24"/>
        </w:rPr>
        <w:t>被列在</w:t>
      </w:r>
      <w:r w:rsidR="001217C9">
        <w:rPr>
          <w:rFonts w:ascii="Kinnari" w:eastAsia="Kinnari" w:hAnsi="Kinnari" w:cs="Kinnari"/>
          <w:color w:val="00000A"/>
          <w:sz w:val="24"/>
          <w:szCs w:val="24"/>
        </w:rPr>
        <w:t>易危(VU)等級以上的種類)，</w:t>
      </w:r>
      <w:r>
        <w:rPr>
          <w:rFonts w:ascii="Kinnari" w:eastAsia="Kinnari" w:hAnsi="Kinnari" w:cs="Kinnari"/>
          <w:color w:val="00000A"/>
          <w:sz w:val="24"/>
          <w:szCs w:val="24"/>
        </w:rPr>
        <w:t>作為</w:t>
      </w:r>
      <w:r w:rsidR="001217C9">
        <w:rPr>
          <w:rFonts w:ascii="Kinnari" w:eastAsia="Kinnari" w:hAnsi="Kinnari" w:cs="Kinnari"/>
          <w:color w:val="00000A"/>
          <w:sz w:val="24"/>
          <w:szCs w:val="24"/>
        </w:rPr>
        <w:t>進行保育優先順序</w:t>
      </w:r>
      <w:r>
        <w:rPr>
          <w:rFonts w:ascii="Kinnari" w:eastAsia="Kinnari" w:hAnsi="Kinnari" w:cs="Kinnari"/>
          <w:color w:val="00000A"/>
          <w:sz w:val="24"/>
          <w:szCs w:val="24"/>
        </w:rPr>
        <w:t>評比</w:t>
      </w:r>
      <w:r w:rsidR="001217C9">
        <w:rPr>
          <w:rFonts w:ascii="Kinnari" w:eastAsia="Kinnari" w:hAnsi="Kinnari" w:cs="Kinnari"/>
          <w:color w:val="00000A"/>
          <w:sz w:val="24"/>
          <w:szCs w:val="24"/>
        </w:rPr>
        <w:t>的物種</w:t>
      </w:r>
      <w:r>
        <w:rPr>
          <w:rFonts w:ascii="Kinnari" w:hAnsi="Kinnari" w:cs="Kinnari" w:hint="eastAsia"/>
          <w:color w:val="00000A"/>
          <w:sz w:val="24"/>
          <w:szCs w:val="24"/>
        </w:rPr>
        <w:t>清</w:t>
      </w:r>
      <w:r w:rsidR="001217C9">
        <w:rPr>
          <w:rFonts w:ascii="Kinnari" w:eastAsia="Kinnari" w:hAnsi="Kinnari" w:cs="Kinnari"/>
          <w:color w:val="00000A"/>
          <w:sz w:val="24"/>
          <w:szCs w:val="24"/>
        </w:rPr>
        <w:t>單。</w:t>
      </w:r>
      <w:r>
        <w:rPr>
          <w:rFonts w:ascii="Kinnari" w:eastAsia="Kinnari" w:hAnsi="Kinnari" w:cs="Kinnari"/>
          <w:color w:val="00000A"/>
          <w:sz w:val="24"/>
          <w:szCs w:val="24"/>
        </w:rPr>
        <w:t>以受脅程度作為保育價值評價的話，</w:t>
      </w:r>
      <w:r w:rsidR="001217C9">
        <w:rPr>
          <w:rFonts w:ascii="Kinnari" w:eastAsia="Kinnari" w:hAnsi="Kinnari" w:cs="Kinnari"/>
          <w:color w:val="00000A"/>
          <w:sz w:val="24"/>
          <w:szCs w:val="24"/>
        </w:rPr>
        <w:t>這份名單</w:t>
      </w:r>
      <w:r>
        <w:rPr>
          <w:rFonts w:ascii="Kinnari" w:eastAsia="Kinnari" w:hAnsi="Kinnari" w:cs="Kinnari"/>
          <w:color w:val="00000A"/>
          <w:sz w:val="24"/>
          <w:szCs w:val="24"/>
        </w:rPr>
        <w:t>基本上已經</w:t>
      </w:r>
      <w:r w:rsidR="001217C9">
        <w:rPr>
          <w:rFonts w:ascii="Kinnari" w:eastAsia="Kinnari" w:hAnsi="Kinnari" w:cs="Kinnari"/>
          <w:color w:val="00000A"/>
          <w:sz w:val="24"/>
          <w:szCs w:val="24"/>
        </w:rPr>
        <w:t>初步排除保育價值較低的種</w:t>
      </w:r>
      <w:r>
        <w:rPr>
          <w:rFonts w:ascii="Kinnari" w:eastAsia="Kinnari" w:hAnsi="Kinnari" w:cs="Kinnari"/>
          <w:color w:val="00000A"/>
          <w:sz w:val="24"/>
          <w:szCs w:val="24"/>
        </w:rPr>
        <w:t>類</w:t>
      </w:r>
      <w:r w:rsidR="001217C9">
        <w:rPr>
          <w:rFonts w:ascii="Kinnari" w:eastAsia="Kinnari" w:hAnsi="Kinnari" w:cs="Kinnari"/>
          <w:color w:val="00000A"/>
          <w:sz w:val="24"/>
          <w:szCs w:val="24"/>
        </w:rPr>
        <w:t>。</w:t>
      </w:r>
    </w:p>
    <w:p w14:paraId="36DB50D3" w14:textId="77777777" w:rsidR="002A1C85" w:rsidRDefault="002A1C85">
      <w:pPr>
        <w:pStyle w:val="10"/>
        <w:widowControl w:val="0"/>
        <w:spacing w:line="360" w:lineRule="auto"/>
        <w:jc w:val="both"/>
        <w:rPr>
          <w:rFonts w:ascii="Kinnari" w:eastAsia="Kinnari" w:hAnsi="Kinnari" w:cs="Kinnari"/>
          <w:color w:val="00000A"/>
          <w:sz w:val="24"/>
          <w:szCs w:val="24"/>
        </w:rPr>
      </w:pPr>
    </w:p>
    <w:p w14:paraId="16B8735D"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步驟三: 建立評估方法</w:t>
      </w:r>
    </w:p>
    <w:p w14:paraId="3D2E7FEA"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根據物種特性建立適當的評估表</w:t>
      </w:r>
      <w:r w:rsidR="00141763">
        <w:rPr>
          <w:rFonts w:ascii="Kinnari" w:eastAsia="Kinnari" w:hAnsi="Kinnari" w:cs="Kinnari"/>
          <w:color w:val="00000A"/>
          <w:sz w:val="24"/>
          <w:szCs w:val="24"/>
        </w:rPr>
        <w:t>格</w:t>
      </w:r>
      <w:r>
        <w:rPr>
          <w:rFonts w:ascii="Kinnari" w:eastAsia="Kinnari" w:hAnsi="Kinnari" w:cs="Kinnari"/>
          <w:color w:val="00000A"/>
          <w:sz w:val="24"/>
          <w:szCs w:val="24"/>
        </w:rPr>
        <w:t>。每個物種特性可</w:t>
      </w:r>
      <w:r w:rsidR="00141763">
        <w:rPr>
          <w:rFonts w:ascii="Kinnari" w:eastAsia="Kinnari" w:hAnsi="Kinnari" w:cs="Kinnari"/>
          <w:color w:val="00000A"/>
          <w:sz w:val="24"/>
          <w:szCs w:val="24"/>
        </w:rPr>
        <w:t>視為</w:t>
      </w:r>
      <w:r>
        <w:rPr>
          <w:rFonts w:ascii="Kinnari" w:eastAsia="Kinnari" w:hAnsi="Kinnari" w:cs="Kinnari"/>
          <w:color w:val="00000A"/>
          <w:sz w:val="24"/>
          <w:szCs w:val="24"/>
        </w:rPr>
        <w:t>是一個變數，而這些變數應該要符合以下的特徵: (一)資料來源應是充足可靠的 (二)與其他變數的相關性低 (三)</w:t>
      </w:r>
      <w:r>
        <w:rPr>
          <w:rFonts w:ascii="Kinnari" w:eastAsia="Kinnari" w:hAnsi="Kinnari" w:cs="Kinnari"/>
          <w:color w:val="00000A"/>
          <w:sz w:val="24"/>
          <w:szCs w:val="24"/>
          <w:highlight w:val="yellow"/>
        </w:rPr>
        <w:t>各變數值的</w:t>
      </w:r>
      <w:r w:rsidR="00141763">
        <w:rPr>
          <w:rFonts w:ascii="Kinnari" w:eastAsia="Kinnari" w:hAnsi="Kinnari" w:cs="Kinnari"/>
          <w:color w:val="00000A"/>
          <w:sz w:val="24"/>
          <w:szCs w:val="24"/>
          <w:highlight w:val="yellow"/>
        </w:rPr>
        <w:t>相對</w:t>
      </w:r>
      <w:r>
        <w:rPr>
          <w:rFonts w:ascii="Kinnari" w:eastAsia="Kinnari" w:hAnsi="Kinnari" w:cs="Kinnari"/>
          <w:color w:val="00000A"/>
          <w:sz w:val="24"/>
          <w:szCs w:val="24"/>
          <w:highlight w:val="yellow"/>
        </w:rPr>
        <w:t>尺度必須</w:t>
      </w:r>
      <w:r w:rsidR="00141763">
        <w:rPr>
          <w:rFonts w:ascii="Kinnari" w:eastAsia="Kinnari" w:hAnsi="Kinnari" w:cs="Kinnari"/>
          <w:color w:val="00000A"/>
          <w:sz w:val="24"/>
          <w:szCs w:val="24"/>
          <w:highlight w:val="yellow"/>
        </w:rPr>
        <w:t>具有量化意義</w:t>
      </w:r>
      <w:r>
        <w:rPr>
          <w:rFonts w:ascii="Kinnari" w:eastAsia="Kinnari" w:hAnsi="Kinnari" w:cs="Kinnari"/>
          <w:color w:val="00000A"/>
          <w:sz w:val="24"/>
          <w:szCs w:val="24"/>
          <w:highlight w:val="yellow"/>
        </w:rPr>
        <w:t>，例如，當A、B物種的獨特性</w:t>
      </w:r>
      <w:r w:rsidR="00141763">
        <w:rPr>
          <w:rFonts w:ascii="Kinnari" w:eastAsia="Kinnari" w:hAnsi="Kinnari" w:cs="Kinnari"/>
          <w:color w:val="00000A"/>
          <w:sz w:val="24"/>
          <w:szCs w:val="24"/>
          <w:highlight w:val="yellow"/>
        </w:rPr>
        <w:t>在評估時分別</w:t>
      </w:r>
      <w:r>
        <w:rPr>
          <w:rFonts w:ascii="Kinnari" w:eastAsia="Kinnari" w:hAnsi="Kinnari" w:cs="Kinnari"/>
          <w:color w:val="00000A"/>
          <w:sz w:val="24"/>
          <w:szCs w:val="24"/>
          <w:highlight w:val="yellow"/>
        </w:rPr>
        <w:t>為4分及2分時，</w:t>
      </w:r>
      <w:r w:rsidR="00141763">
        <w:rPr>
          <w:rFonts w:ascii="Kinnari" w:eastAsia="Kinnari" w:hAnsi="Kinnari" w:cs="Kinnari"/>
          <w:color w:val="00000A"/>
          <w:sz w:val="24"/>
          <w:szCs w:val="24"/>
          <w:highlight w:val="yellow"/>
        </w:rPr>
        <w:t>應該</w:t>
      </w:r>
      <w:r>
        <w:rPr>
          <w:rFonts w:ascii="Kinnari" w:eastAsia="Kinnari" w:hAnsi="Kinnari" w:cs="Kinnari"/>
          <w:color w:val="00000A"/>
          <w:sz w:val="24"/>
          <w:szCs w:val="24"/>
          <w:highlight w:val="yellow"/>
        </w:rPr>
        <w:t>代表A物種真的比B物種獨特2倍(Game 2012)</w:t>
      </w:r>
      <w:r>
        <w:rPr>
          <w:rFonts w:ascii="Kinnari" w:eastAsia="Kinnari" w:hAnsi="Kinnari" w:cs="Kinnari"/>
          <w:color w:val="00000A"/>
          <w:sz w:val="24"/>
          <w:szCs w:val="24"/>
        </w:rPr>
        <w:t>。</w:t>
      </w:r>
    </w:p>
    <w:p w14:paraId="3BEE18A3" w14:textId="77777777" w:rsidR="002A1C85" w:rsidRDefault="002A1C85">
      <w:pPr>
        <w:pStyle w:val="10"/>
        <w:widowControl w:val="0"/>
        <w:spacing w:line="360" w:lineRule="auto"/>
        <w:jc w:val="both"/>
        <w:rPr>
          <w:rFonts w:ascii="Kinnari" w:eastAsia="Kinnari" w:hAnsi="Kinnari" w:cs="Kinnari"/>
          <w:color w:val="00000A"/>
          <w:sz w:val="24"/>
          <w:szCs w:val="24"/>
        </w:rPr>
      </w:pPr>
    </w:p>
    <w:p w14:paraId="3833FCE2" w14:textId="77777777" w:rsidR="002A1C85" w:rsidRDefault="001217C9">
      <w:pPr>
        <w:pStyle w:val="10"/>
        <w:widowControl w:val="0"/>
        <w:spacing w:line="360" w:lineRule="auto"/>
        <w:jc w:val="both"/>
        <w:rPr>
          <w:rFonts w:ascii="新細明體" w:eastAsia="新細明體" w:hAnsi="新細明體" w:cs="新細明體"/>
          <w:color w:val="00000A"/>
          <w:sz w:val="24"/>
          <w:szCs w:val="24"/>
          <w:u w:val="single"/>
        </w:rPr>
      </w:pPr>
      <w:r>
        <w:rPr>
          <w:rFonts w:ascii="Kinnari" w:eastAsia="Kinnari" w:hAnsi="Kinnari" w:cs="Kinnari"/>
          <w:color w:val="00000A"/>
          <w:sz w:val="24"/>
          <w:szCs w:val="24"/>
        </w:rPr>
        <w:t>上述評估</w:t>
      </w:r>
      <w:r w:rsidR="00141763">
        <w:rPr>
          <w:rFonts w:ascii="Kinnari" w:eastAsia="Kinnari" w:hAnsi="Kinnari" w:cs="Kinnari"/>
          <w:color w:val="00000A"/>
          <w:sz w:val="24"/>
          <w:szCs w:val="24"/>
        </w:rPr>
        <w:t>項目建立</w:t>
      </w:r>
      <w:r>
        <w:rPr>
          <w:rFonts w:ascii="Kinnari" w:eastAsia="Kinnari" w:hAnsi="Kinnari" w:cs="Kinnari"/>
          <w:color w:val="00000A"/>
          <w:sz w:val="24"/>
          <w:szCs w:val="24"/>
        </w:rPr>
        <w:t>後，</w:t>
      </w:r>
      <w:r>
        <w:rPr>
          <w:rFonts w:ascii="Kinnari" w:eastAsia="Kinnari" w:hAnsi="Kinnari" w:cs="Kinnari"/>
          <w:color w:val="00000A"/>
          <w:sz w:val="24"/>
          <w:szCs w:val="24"/>
          <w:u w:val="single"/>
        </w:rPr>
        <w:t>如有需要，亦可透過</w:t>
      </w:r>
      <w:r w:rsidR="000C3FD3">
        <w:rPr>
          <w:rFonts w:ascii="Kinnari" w:hAnsi="Kinnari" w:cs="Kinnari" w:hint="eastAsia"/>
          <w:color w:val="00000A"/>
          <w:sz w:val="24"/>
          <w:szCs w:val="24"/>
          <w:u w:val="single"/>
        </w:rPr>
        <w:t>專家</w:t>
      </w:r>
      <w:r>
        <w:rPr>
          <w:rFonts w:ascii="Kinnari" w:eastAsia="Kinnari" w:hAnsi="Kinnari" w:cs="Kinnari"/>
          <w:color w:val="00000A"/>
          <w:sz w:val="24"/>
          <w:szCs w:val="24"/>
          <w:u w:val="single"/>
        </w:rPr>
        <w:t>學者檢視評估表的合理性，並加以修正。</w:t>
      </w:r>
    </w:p>
    <w:p w14:paraId="3D793182" w14:textId="77777777" w:rsidR="002A1C85" w:rsidRPr="000C3FD3" w:rsidRDefault="002A1C85">
      <w:pPr>
        <w:pStyle w:val="10"/>
        <w:widowControl w:val="0"/>
        <w:spacing w:line="360" w:lineRule="auto"/>
        <w:jc w:val="both"/>
        <w:rPr>
          <w:rFonts w:ascii="Kinnari" w:eastAsia="Kinnari" w:hAnsi="Kinnari" w:cs="Kinnari"/>
          <w:sz w:val="24"/>
          <w:szCs w:val="24"/>
          <w:highlight w:val="white"/>
        </w:rPr>
      </w:pPr>
    </w:p>
    <w:p w14:paraId="6D6D2609"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步驟四: 資料</w:t>
      </w:r>
      <w:r w:rsidR="000C3FD3">
        <w:rPr>
          <w:rFonts w:ascii="Kinnari" w:eastAsia="Kinnari" w:hAnsi="Kinnari" w:cs="Kinnari"/>
          <w:color w:val="00000A"/>
          <w:sz w:val="24"/>
          <w:szCs w:val="24"/>
        </w:rPr>
        <w:t>蒐集、</w:t>
      </w:r>
      <w:r>
        <w:rPr>
          <w:rFonts w:ascii="Kinnari" w:eastAsia="Kinnari" w:hAnsi="Kinnari" w:cs="Kinnari"/>
          <w:color w:val="00000A"/>
          <w:sz w:val="24"/>
          <w:szCs w:val="24"/>
        </w:rPr>
        <w:t>評估、排序、篩選</w:t>
      </w:r>
    </w:p>
    <w:p w14:paraId="0F5910FF" w14:textId="77777777" w:rsidR="002A1C85" w:rsidRPr="00FE1E6E" w:rsidRDefault="000C3FD3">
      <w:pPr>
        <w:pStyle w:val="10"/>
        <w:widowControl w:val="0"/>
        <w:spacing w:line="360" w:lineRule="auto"/>
        <w:jc w:val="both"/>
        <w:rPr>
          <w:rFonts w:ascii="新細明體" w:hAnsi="新細明體" w:cs="新細明體"/>
          <w:color w:val="00000A"/>
          <w:sz w:val="24"/>
          <w:szCs w:val="24"/>
        </w:rPr>
      </w:pPr>
      <w:r>
        <w:rPr>
          <w:rFonts w:ascii="Kinnari" w:eastAsia="Kinnari" w:hAnsi="Kinnari" w:cs="Kinnari"/>
          <w:color w:val="00000A"/>
          <w:sz w:val="24"/>
          <w:szCs w:val="24"/>
        </w:rPr>
        <w:t>評估項目表建立後，應該進行資料蒐集工作。</w:t>
      </w:r>
      <w:r w:rsidR="00873859">
        <w:rPr>
          <w:rFonts w:ascii="Kinnari" w:eastAsia="Kinnari" w:hAnsi="Kinnari" w:cs="Kinnari"/>
          <w:color w:val="00000A"/>
          <w:sz w:val="24"/>
          <w:szCs w:val="24"/>
        </w:rPr>
        <w:t>蒐集的方法很多，但</w:t>
      </w:r>
      <w:r w:rsidR="001217C9">
        <w:rPr>
          <w:rFonts w:ascii="Kinnari" w:eastAsia="Kinnari" w:hAnsi="Kinnari" w:cs="Kinnari"/>
          <w:color w:val="00000A"/>
          <w:sz w:val="24"/>
          <w:szCs w:val="24"/>
        </w:rPr>
        <w:t>以</w:t>
      </w:r>
      <w:r w:rsidR="00873859">
        <w:rPr>
          <w:rFonts w:ascii="Kinnari" w:eastAsia="Kinnari" w:hAnsi="Kinnari" w:cs="Kinnari"/>
          <w:color w:val="00000A"/>
          <w:sz w:val="24"/>
          <w:szCs w:val="24"/>
        </w:rPr>
        <w:t>召開</w:t>
      </w:r>
      <w:commentRangeStart w:id="20"/>
      <w:r w:rsidR="001217C9">
        <w:rPr>
          <w:rFonts w:ascii="Kinnari" w:eastAsia="Kinnari" w:hAnsi="Kinnari" w:cs="Kinnari"/>
          <w:color w:val="00000A"/>
          <w:sz w:val="24"/>
          <w:szCs w:val="24"/>
        </w:rPr>
        <w:t>工作坊</w:t>
      </w:r>
      <w:r>
        <w:rPr>
          <w:rFonts w:ascii="Kinnari" w:hAnsi="Kinnari" w:cs="Kinnari" w:hint="eastAsia"/>
          <w:color w:val="00000A"/>
          <w:sz w:val="24"/>
          <w:szCs w:val="24"/>
        </w:rPr>
        <w:t>(workshop)</w:t>
      </w:r>
      <w:commentRangeEnd w:id="20"/>
      <w:r w:rsidR="00873859">
        <w:rPr>
          <w:rStyle w:val="ad"/>
        </w:rPr>
        <w:commentReference w:id="20"/>
      </w:r>
      <w:r w:rsidR="001217C9">
        <w:rPr>
          <w:rFonts w:ascii="Kinnari" w:eastAsia="Kinnari" w:hAnsi="Kinnari" w:cs="Kinnari"/>
          <w:color w:val="00000A"/>
          <w:sz w:val="24"/>
          <w:szCs w:val="24"/>
        </w:rPr>
        <w:t>的形式</w:t>
      </w:r>
      <w:r w:rsidR="00873859">
        <w:rPr>
          <w:rFonts w:ascii="Kinnari" w:eastAsia="Kinnari" w:hAnsi="Kinnari" w:cs="Kinnari"/>
          <w:color w:val="00000A"/>
          <w:sz w:val="24"/>
          <w:szCs w:val="24"/>
        </w:rPr>
        <w:t>，</w:t>
      </w:r>
      <w:r w:rsidR="001217C9">
        <w:rPr>
          <w:rFonts w:ascii="Kinnari" w:eastAsia="Kinnari" w:hAnsi="Kinnari" w:cs="Kinnari"/>
          <w:color w:val="00000A"/>
          <w:sz w:val="24"/>
          <w:szCs w:val="24"/>
        </w:rPr>
        <w:t>邀集相關物種專家進行評估，一方面能夠</w:t>
      </w:r>
      <w:r w:rsidR="00873859">
        <w:rPr>
          <w:rFonts w:ascii="Kinnari" w:eastAsia="Kinnari" w:hAnsi="Kinnari" w:cs="Kinnari"/>
          <w:color w:val="00000A"/>
          <w:sz w:val="24"/>
          <w:szCs w:val="24"/>
        </w:rPr>
        <w:t>同時</w:t>
      </w:r>
      <w:r w:rsidR="001217C9">
        <w:rPr>
          <w:rFonts w:ascii="Kinnari" w:eastAsia="Kinnari" w:hAnsi="Kinnari" w:cs="Kinnari"/>
          <w:color w:val="00000A"/>
          <w:sz w:val="24"/>
          <w:szCs w:val="24"/>
        </w:rPr>
        <w:t>彙整到</w:t>
      </w:r>
      <w:r w:rsidR="00873859">
        <w:rPr>
          <w:rFonts w:ascii="Kinnari" w:eastAsia="Kinnari" w:hAnsi="Kinnari" w:cs="Kinnari"/>
          <w:color w:val="00000A"/>
          <w:sz w:val="24"/>
          <w:szCs w:val="24"/>
        </w:rPr>
        <w:t>最多種類的</w:t>
      </w:r>
      <w:r w:rsidR="001217C9">
        <w:rPr>
          <w:rFonts w:ascii="Kinnari" w:eastAsia="Kinnari" w:hAnsi="Kinnari" w:cs="Kinnari"/>
          <w:color w:val="00000A"/>
          <w:sz w:val="24"/>
          <w:szCs w:val="24"/>
        </w:rPr>
        <w:t>資料，</w:t>
      </w:r>
      <w:r w:rsidR="00873859">
        <w:rPr>
          <w:rFonts w:ascii="Kinnari" w:hAnsi="Kinnari" w:cs="Kinnari" w:hint="eastAsia"/>
          <w:color w:val="00000A"/>
          <w:sz w:val="24"/>
          <w:szCs w:val="24"/>
        </w:rPr>
        <w:t>透過討論也能</w:t>
      </w:r>
      <w:r w:rsidR="00873859">
        <w:rPr>
          <w:rFonts w:ascii="Kinnari" w:eastAsia="Kinnari" w:hAnsi="Kinnari" w:cs="Kinnari"/>
          <w:color w:val="00000A"/>
          <w:sz w:val="24"/>
          <w:szCs w:val="24"/>
        </w:rPr>
        <w:t>取得較為準確的</w:t>
      </w:r>
      <w:r w:rsidR="001217C9">
        <w:rPr>
          <w:rFonts w:ascii="Kinnari" w:eastAsia="Kinnari" w:hAnsi="Kinnari" w:cs="Kinnari"/>
          <w:color w:val="00000A"/>
          <w:sz w:val="24"/>
          <w:szCs w:val="24"/>
        </w:rPr>
        <w:t>資料。</w:t>
      </w:r>
      <w:r w:rsidR="00873859">
        <w:rPr>
          <w:rFonts w:ascii="Kinnari" w:hAnsi="Kinnari" w:cs="Kinnari" w:hint="eastAsia"/>
          <w:color w:val="00000A"/>
          <w:sz w:val="24"/>
          <w:szCs w:val="24"/>
        </w:rPr>
        <w:t>工作坊的</w:t>
      </w:r>
      <w:r w:rsidR="001217C9">
        <w:rPr>
          <w:rFonts w:ascii="Kinnari" w:eastAsia="Kinnari" w:hAnsi="Kinnari" w:cs="Kinnari"/>
          <w:color w:val="00000A"/>
          <w:sz w:val="24"/>
          <w:szCs w:val="24"/>
        </w:rPr>
        <w:t>討論</w:t>
      </w:r>
      <w:r w:rsidR="00873859">
        <w:rPr>
          <w:rFonts w:ascii="Kinnari" w:eastAsia="Kinnari" w:hAnsi="Kinnari" w:cs="Kinnari"/>
          <w:color w:val="00000A"/>
          <w:sz w:val="24"/>
          <w:szCs w:val="24"/>
        </w:rPr>
        <w:t>與共識</w:t>
      </w:r>
      <w:r w:rsidR="001217C9">
        <w:rPr>
          <w:rFonts w:ascii="Kinnari" w:eastAsia="Kinnari" w:hAnsi="Kinnari" w:cs="Kinnari"/>
          <w:color w:val="00000A"/>
          <w:sz w:val="24"/>
          <w:szCs w:val="24"/>
        </w:rPr>
        <w:t>亦可決定是否</w:t>
      </w:r>
      <w:r w:rsidR="00873859">
        <w:rPr>
          <w:rFonts w:ascii="Kinnari" w:eastAsia="Kinnari" w:hAnsi="Kinnari" w:cs="Kinnari"/>
          <w:color w:val="00000A"/>
          <w:sz w:val="24"/>
          <w:szCs w:val="24"/>
        </w:rPr>
        <w:t>應</w:t>
      </w:r>
      <w:r w:rsidR="001217C9">
        <w:rPr>
          <w:rFonts w:ascii="Kinnari" w:eastAsia="Kinnari" w:hAnsi="Kinnari" w:cs="Kinnari"/>
          <w:color w:val="00000A"/>
          <w:sz w:val="24"/>
          <w:szCs w:val="24"/>
        </w:rPr>
        <w:t>再剔除更多</w:t>
      </w:r>
      <w:r w:rsidR="00873859">
        <w:rPr>
          <w:rFonts w:ascii="Kinnari" w:eastAsia="Kinnari" w:hAnsi="Kinnari" w:cs="Kinnari"/>
          <w:color w:val="00000A"/>
          <w:sz w:val="24"/>
          <w:szCs w:val="24"/>
        </w:rPr>
        <w:t>候選</w:t>
      </w:r>
      <w:r w:rsidR="001217C9">
        <w:rPr>
          <w:rFonts w:ascii="Kinnari" w:eastAsia="Kinnari" w:hAnsi="Kinnari" w:cs="Kinnari"/>
          <w:color w:val="00000A"/>
          <w:sz w:val="24"/>
          <w:szCs w:val="24"/>
        </w:rPr>
        <w:t>物種</w:t>
      </w:r>
      <w:r w:rsidR="00873859">
        <w:rPr>
          <w:rFonts w:ascii="Kinnari" w:eastAsia="Kinnari" w:hAnsi="Kinnari" w:cs="Kinnari"/>
          <w:color w:val="00000A"/>
          <w:sz w:val="24"/>
          <w:szCs w:val="24"/>
        </w:rPr>
        <w:t>之類的問題</w:t>
      </w:r>
      <w:r w:rsidR="001217C9">
        <w:rPr>
          <w:rFonts w:ascii="Kinnari" w:eastAsia="Kinnari" w:hAnsi="Kinnari" w:cs="Kinnari"/>
          <w:color w:val="00000A"/>
          <w:sz w:val="24"/>
          <w:szCs w:val="24"/>
        </w:rPr>
        <w:t>。</w:t>
      </w:r>
    </w:p>
    <w:p w14:paraId="66EDC580"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4ABEA88D"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步驟五: 重複步驟三、四，依序完成保育價值評估(V)、恢復潛力評估(P)、保育成本評估(C)</w:t>
      </w:r>
    </w:p>
    <w:p w14:paraId="0F54F607"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496F24FD"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步驟六: 完成排序</w:t>
      </w:r>
      <w:r w:rsidR="00090370">
        <w:rPr>
          <w:rFonts w:ascii="Kinnari" w:eastAsia="Kinnari" w:hAnsi="Kinnari" w:cs="Kinnari"/>
          <w:color w:val="00000A"/>
          <w:sz w:val="24"/>
          <w:szCs w:val="24"/>
        </w:rPr>
        <w:t>並</w:t>
      </w:r>
      <w:r w:rsidR="00090370">
        <w:rPr>
          <w:rFonts w:ascii="Kinnari" w:hAnsi="Kinnari" w:cs="Kinnari" w:hint="eastAsia"/>
          <w:color w:val="00000A"/>
          <w:sz w:val="24"/>
          <w:szCs w:val="24"/>
        </w:rPr>
        <w:t>公開</w:t>
      </w:r>
      <w:r w:rsidR="00090370">
        <w:rPr>
          <w:rFonts w:ascii="Kinnari" w:eastAsia="Kinnari" w:hAnsi="Kinnari" w:cs="Kinnari"/>
          <w:color w:val="00000A"/>
          <w:sz w:val="24"/>
          <w:szCs w:val="24"/>
        </w:rPr>
        <w:t>評估方法與成</w:t>
      </w:r>
      <w:r>
        <w:rPr>
          <w:rFonts w:ascii="Kinnari" w:eastAsia="Kinnari" w:hAnsi="Kinnari" w:cs="Kinnari"/>
          <w:color w:val="00000A"/>
          <w:sz w:val="24"/>
          <w:szCs w:val="24"/>
        </w:rPr>
        <w:t>果。</w:t>
      </w:r>
    </w:p>
    <w:p w14:paraId="47EACB76" w14:textId="77777777" w:rsidR="002A1C85" w:rsidRDefault="001217C9">
      <w:pPr>
        <w:pStyle w:val="10"/>
        <w:widowControl w:val="0"/>
        <w:spacing w:line="360" w:lineRule="auto"/>
        <w:jc w:val="both"/>
        <w:rPr>
          <w:rFonts w:ascii="Calibri" w:eastAsia="Calibri" w:hAnsi="Calibri" w:cs="Calibri"/>
          <w:color w:val="00000A"/>
          <w:sz w:val="24"/>
          <w:szCs w:val="24"/>
        </w:rPr>
      </w:pPr>
      <w:r>
        <w:rPr>
          <w:rFonts w:ascii="Kinnari" w:eastAsia="Kinnari" w:hAnsi="Kinnari" w:cs="Kinnari"/>
          <w:color w:val="00000A"/>
          <w:sz w:val="24"/>
          <w:szCs w:val="24"/>
        </w:rPr>
        <w:lastRenderedPageBreak/>
        <w:t>上述步驟完成後取得的V、P與C結果，以及其應該進入最後評估的物種名單，即可以上述公式</w:t>
      </w:r>
      <w:r w:rsidR="00BA3EA2">
        <w:rPr>
          <w:rFonts w:ascii="Kinnari" w:hAnsi="Kinnari" w:cs="Kinnari" w:hint="eastAsia"/>
          <w:color w:val="00000A"/>
          <w:sz w:val="24"/>
          <w:szCs w:val="24"/>
        </w:rPr>
        <w:t>(1)</w:t>
      </w:r>
      <w:r>
        <w:rPr>
          <w:rFonts w:ascii="Kinnari" w:eastAsia="Kinnari" w:hAnsi="Kinnari" w:cs="Kinnari"/>
          <w:color w:val="00000A"/>
          <w:sz w:val="24"/>
          <w:szCs w:val="24"/>
        </w:rPr>
        <w:t>進行優先</w:t>
      </w:r>
      <w:r w:rsidR="00BA3EA2">
        <w:rPr>
          <w:rFonts w:ascii="Kinnari" w:eastAsia="Kinnari" w:hAnsi="Kinnari" w:cs="Kinnari"/>
          <w:color w:val="00000A"/>
          <w:sz w:val="24"/>
          <w:szCs w:val="24"/>
        </w:rPr>
        <w:t>排序</w:t>
      </w:r>
      <w:r>
        <w:rPr>
          <w:rFonts w:ascii="Kinnari" w:eastAsia="Kinnari" w:hAnsi="Kinnari" w:cs="Kinnari"/>
          <w:color w:val="00000A"/>
          <w:sz w:val="24"/>
          <w:szCs w:val="24"/>
        </w:rPr>
        <w:t>計算。</w:t>
      </w:r>
      <w:commentRangeStart w:id="21"/>
      <w:commentRangeEnd w:id="21"/>
      <w:r>
        <w:commentReference w:id="21"/>
      </w:r>
      <w:r w:rsidR="00090370">
        <w:rPr>
          <w:rFonts w:ascii="Kinnari" w:eastAsia="Kinnari" w:hAnsi="Kinnari" w:cs="Kinnari"/>
          <w:color w:val="00000A"/>
          <w:sz w:val="24"/>
          <w:szCs w:val="24"/>
        </w:rPr>
        <w:t>保育優先順序的結果因為與後續保育行動計畫的擬定息息相關，並且需要管理單位及一般大眾的認同與支持，因此如果可以將資料公開，取得更多關係人</w:t>
      </w:r>
      <w:r w:rsidR="00090370">
        <w:rPr>
          <w:rFonts w:ascii="Kinnari" w:hAnsi="Kinnari" w:cs="Kinnari" w:hint="eastAsia"/>
          <w:color w:val="00000A"/>
          <w:sz w:val="24"/>
          <w:szCs w:val="24"/>
        </w:rPr>
        <w:t>(stackholder)</w:t>
      </w:r>
      <w:r w:rsidR="00090370">
        <w:rPr>
          <w:rFonts w:ascii="Kinnari" w:hAnsi="Kinnari" w:cs="Kinnari" w:hint="eastAsia"/>
          <w:color w:val="00000A"/>
          <w:sz w:val="24"/>
          <w:szCs w:val="24"/>
        </w:rPr>
        <w:t>的理解與</w:t>
      </w:r>
      <w:r w:rsidR="00090370">
        <w:rPr>
          <w:rFonts w:ascii="Kinnari" w:eastAsia="Kinnari" w:hAnsi="Kinnari" w:cs="Kinnari"/>
          <w:color w:val="00000A"/>
          <w:sz w:val="24"/>
          <w:szCs w:val="24"/>
        </w:rPr>
        <w:t>資源投注是必要的。因此應該</w:t>
      </w:r>
      <w:r w:rsidR="002A1C85" w:rsidRPr="00FE1E6E">
        <w:rPr>
          <w:rFonts w:ascii="Kinnari" w:eastAsia="Kinnari" w:hAnsi="Kinnari" w:cs="Kinnari"/>
          <w:color w:val="00000A"/>
          <w:sz w:val="24"/>
          <w:szCs w:val="24"/>
          <w:shd w:val="clear" w:color="auto" w:fill="FFE599"/>
        </w:rPr>
        <w:t>將</w:t>
      </w:r>
      <w:r w:rsidR="00090370">
        <w:rPr>
          <w:rFonts w:ascii="Kinnari" w:hAnsi="Kinnari" w:cs="Kinnari" w:hint="eastAsia"/>
          <w:color w:val="00000A"/>
          <w:sz w:val="24"/>
          <w:szCs w:val="24"/>
          <w:shd w:val="clear" w:color="auto" w:fill="FFE599"/>
        </w:rPr>
        <w:t>整個</w:t>
      </w:r>
      <w:r w:rsidR="002A1C85" w:rsidRPr="00FE1E6E">
        <w:rPr>
          <w:rFonts w:ascii="Kinnari" w:eastAsia="Kinnari" w:hAnsi="Kinnari" w:cs="Kinnari"/>
          <w:color w:val="00000A"/>
          <w:sz w:val="24"/>
          <w:szCs w:val="24"/>
          <w:shd w:val="clear" w:color="auto" w:fill="FFE599"/>
        </w:rPr>
        <w:t>評估過程、結果，</w:t>
      </w:r>
      <w:r w:rsidR="00090370">
        <w:rPr>
          <w:rFonts w:ascii="Kinnari" w:eastAsia="Kinnari" w:hAnsi="Kinnari" w:cs="Kinnari"/>
          <w:color w:val="00000A"/>
          <w:sz w:val="24"/>
          <w:szCs w:val="24"/>
          <w:shd w:val="clear" w:color="auto" w:fill="FFE599"/>
        </w:rPr>
        <w:t>以</w:t>
      </w:r>
      <w:r w:rsidR="002A1C85" w:rsidRPr="00FE1E6E">
        <w:rPr>
          <w:rFonts w:ascii="Kinnari" w:eastAsia="Kinnari" w:hAnsi="Kinnari" w:cs="Kinnari"/>
          <w:color w:val="00000A"/>
          <w:sz w:val="24"/>
          <w:szCs w:val="24"/>
          <w:shd w:val="clear" w:color="auto" w:fill="FFE599"/>
        </w:rPr>
        <w:t>報告書</w:t>
      </w:r>
      <w:r w:rsidR="00090370">
        <w:rPr>
          <w:rFonts w:ascii="Kinnari" w:hAnsi="Kinnari" w:cs="Kinnari" w:hint="eastAsia"/>
          <w:color w:val="00000A"/>
          <w:sz w:val="24"/>
          <w:szCs w:val="24"/>
          <w:shd w:val="clear" w:color="auto" w:fill="FFE599"/>
        </w:rPr>
        <w:t>的方式呈現外</w:t>
      </w:r>
      <w:r w:rsidR="002A1C85" w:rsidRPr="00FE1E6E">
        <w:rPr>
          <w:rFonts w:ascii="Kinnari" w:eastAsia="Kinnari" w:hAnsi="Kinnari" w:cs="Kinnari"/>
          <w:color w:val="00000A"/>
          <w:sz w:val="24"/>
          <w:szCs w:val="24"/>
          <w:shd w:val="clear" w:color="auto" w:fill="FFE599"/>
        </w:rPr>
        <w:t>並</w:t>
      </w:r>
      <w:r w:rsidR="00090370">
        <w:rPr>
          <w:rFonts w:ascii="Kinnari" w:eastAsia="Kinnari" w:hAnsi="Kinnari" w:cs="Kinnari"/>
          <w:color w:val="00000A"/>
          <w:sz w:val="24"/>
          <w:szCs w:val="24"/>
          <w:shd w:val="clear" w:color="auto" w:fill="FFE599"/>
        </w:rPr>
        <w:t>且應該開放給民眾</w:t>
      </w:r>
      <w:r w:rsidR="002A1C85" w:rsidRPr="00FE1E6E">
        <w:rPr>
          <w:rFonts w:ascii="Kinnari" w:eastAsia="Kinnari" w:hAnsi="Kinnari" w:cs="Kinnari"/>
          <w:color w:val="00000A"/>
          <w:sz w:val="24"/>
          <w:szCs w:val="24"/>
          <w:shd w:val="clear" w:color="auto" w:fill="FFE599"/>
        </w:rPr>
        <w:t>公開</w:t>
      </w:r>
      <w:r w:rsidR="00090370">
        <w:rPr>
          <w:rFonts w:ascii="Kinnari" w:eastAsia="Kinnari" w:hAnsi="Kinnari" w:cs="Kinnari"/>
          <w:color w:val="00000A"/>
          <w:sz w:val="24"/>
          <w:szCs w:val="24"/>
          <w:shd w:val="clear" w:color="auto" w:fill="FFE599"/>
        </w:rPr>
        <w:t>檢閱及提供意見</w:t>
      </w:r>
      <w:r w:rsidR="002A1C85" w:rsidRPr="00FE1E6E">
        <w:rPr>
          <w:rFonts w:ascii="Kinnari" w:eastAsia="Kinnari" w:hAnsi="Kinnari" w:cs="Kinnari"/>
          <w:color w:val="00000A"/>
          <w:sz w:val="24"/>
          <w:szCs w:val="24"/>
          <w:shd w:val="clear" w:color="auto" w:fill="FFE599"/>
        </w:rPr>
        <w:t>。如有需要，</w:t>
      </w:r>
      <w:r w:rsidR="00090370">
        <w:rPr>
          <w:rFonts w:ascii="Kinnari" w:hAnsi="Kinnari" w:cs="Kinnari" w:hint="eastAsia"/>
          <w:color w:val="00000A"/>
          <w:sz w:val="24"/>
          <w:szCs w:val="24"/>
          <w:shd w:val="clear" w:color="auto" w:fill="FFE599"/>
        </w:rPr>
        <w:t>亦可以用</w:t>
      </w:r>
      <w:r w:rsidR="002A1C85" w:rsidRPr="00FE1E6E">
        <w:rPr>
          <w:rFonts w:ascii="Kinnari" w:eastAsia="Kinnari" w:hAnsi="Kinnari" w:cs="Kinnari"/>
          <w:color w:val="00000A"/>
          <w:sz w:val="24"/>
          <w:szCs w:val="24"/>
          <w:shd w:val="clear" w:color="auto" w:fill="FFE599"/>
        </w:rPr>
        <w:t>召開</w:t>
      </w:r>
      <w:r w:rsidR="00090370">
        <w:rPr>
          <w:rFonts w:ascii="Kinnari" w:eastAsia="Kinnari" w:hAnsi="Kinnari" w:cs="Kinnari"/>
          <w:color w:val="00000A"/>
          <w:sz w:val="24"/>
          <w:szCs w:val="24"/>
          <w:shd w:val="clear" w:color="auto" w:fill="FFE599"/>
        </w:rPr>
        <w:t>公民</w:t>
      </w:r>
      <w:r w:rsidR="002A1C85" w:rsidRPr="00FE1E6E">
        <w:rPr>
          <w:rFonts w:ascii="Kinnari" w:eastAsia="Kinnari" w:hAnsi="Kinnari" w:cs="Kinnari"/>
          <w:color w:val="00000A"/>
          <w:sz w:val="24"/>
          <w:szCs w:val="24"/>
          <w:shd w:val="clear" w:color="auto" w:fill="FFE599"/>
        </w:rPr>
        <w:t>論壇</w:t>
      </w:r>
      <w:r w:rsidR="00090370">
        <w:rPr>
          <w:rFonts w:ascii="Kinnari" w:eastAsia="Kinnari" w:hAnsi="Kinnari" w:cs="Kinnari"/>
          <w:color w:val="00000A"/>
          <w:sz w:val="24"/>
          <w:szCs w:val="24"/>
          <w:shd w:val="clear" w:color="auto" w:fill="FFE599"/>
        </w:rPr>
        <w:t>的方式進行說明與討論</w:t>
      </w:r>
    </w:p>
    <w:p w14:paraId="158C47A2" w14:textId="77777777" w:rsidR="002A1C85" w:rsidRDefault="002A1C85">
      <w:pPr>
        <w:pStyle w:val="10"/>
        <w:widowControl w:val="0"/>
        <w:spacing w:line="360" w:lineRule="auto"/>
        <w:jc w:val="both"/>
        <w:rPr>
          <w:rFonts w:ascii="Kinnari" w:eastAsia="Kinnari" w:hAnsi="Kinnari" w:cs="Kinnari"/>
          <w:color w:val="00000A"/>
          <w:sz w:val="24"/>
          <w:szCs w:val="24"/>
        </w:rPr>
      </w:pPr>
      <w:r w:rsidRPr="00FE1E6E">
        <w:rPr>
          <w:rFonts w:ascii="Kinnari" w:eastAsia="Kinnari" w:hAnsi="Kinnari" w:cs="Kinnari"/>
          <w:color w:val="00000A"/>
          <w:sz w:val="24"/>
          <w:szCs w:val="24"/>
        </w:rPr>
        <w:br/>
      </w:r>
      <w:commentRangeStart w:id="22"/>
      <w:commentRangeEnd w:id="22"/>
      <w:r w:rsidR="001217C9">
        <w:commentReference w:id="22"/>
      </w:r>
      <w:r w:rsidR="00090370" w:rsidRPr="002A1C85" w:rsidDel="00090370">
        <w:rPr>
          <w:rFonts w:ascii="Kinnari" w:eastAsia="Kinnari" w:hAnsi="Kinnari" w:cs="Kinnari"/>
          <w:color w:val="00000A"/>
          <w:sz w:val="24"/>
          <w:szCs w:val="24"/>
          <w:shd w:val="clear" w:color="auto" w:fill="FFE599"/>
        </w:rPr>
        <w:t xml:space="preserve"> </w:t>
      </w:r>
      <w:r w:rsidRPr="00FE1E6E">
        <w:rPr>
          <w:rFonts w:ascii="Kinnari" w:eastAsia="Kinnari" w:hAnsi="Kinnari" w:cs="Kinnari"/>
          <w:color w:val="00000A"/>
          <w:sz w:val="24"/>
          <w:szCs w:val="24"/>
        </w:rPr>
        <w:br/>
      </w:r>
    </w:p>
    <w:p w14:paraId="41A4DC8E" w14:textId="77777777" w:rsidR="002A1C85" w:rsidRDefault="001217C9">
      <w:pPr>
        <w:pStyle w:val="10"/>
        <w:widowControl w:val="0"/>
        <w:spacing w:line="360" w:lineRule="auto"/>
        <w:jc w:val="both"/>
        <w:rPr>
          <w:rFonts w:ascii="新細明體" w:eastAsia="新細明體" w:hAnsi="新細明體" w:cs="新細明體"/>
          <w:color w:val="FF0000"/>
          <w:sz w:val="24"/>
          <w:szCs w:val="24"/>
        </w:rPr>
      </w:pPr>
      <w:r>
        <w:rPr>
          <w:rFonts w:ascii="Kinnari" w:eastAsia="Kinnari" w:hAnsi="Kinnari" w:cs="Kinnari"/>
          <w:color w:val="00000A"/>
          <w:sz w:val="24"/>
          <w:szCs w:val="24"/>
        </w:rPr>
        <w:t>&lt;評估各物種的保育價值</w:t>
      </w:r>
      <w:r w:rsidR="00D73144">
        <w:rPr>
          <w:rFonts w:ascii="Kinnari" w:hAnsi="Kinnari" w:cs="Kinnari" w:hint="eastAsia"/>
          <w:color w:val="00000A"/>
          <w:sz w:val="24"/>
          <w:szCs w:val="24"/>
        </w:rPr>
        <w:t>V</w:t>
      </w:r>
      <w:r>
        <w:rPr>
          <w:rFonts w:ascii="Kinnari" w:eastAsia="Kinnari" w:hAnsi="Kinnari" w:cs="Kinnari"/>
          <w:color w:val="00000A"/>
          <w:sz w:val="24"/>
          <w:szCs w:val="24"/>
        </w:rPr>
        <w:t>&gt;</w:t>
      </w:r>
    </w:p>
    <w:p w14:paraId="6CAE1118" w14:textId="77777777" w:rsidR="002A1C85" w:rsidRDefault="002A1C85">
      <w:pPr>
        <w:pStyle w:val="10"/>
        <w:widowControl w:val="0"/>
        <w:spacing w:line="360" w:lineRule="auto"/>
        <w:jc w:val="both"/>
        <w:rPr>
          <w:rFonts w:ascii="新細明體" w:eastAsia="新細明體" w:hAnsi="新細明體" w:cs="新細明體"/>
          <w:color w:val="FF0000"/>
          <w:sz w:val="24"/>
          <w:szCs w:val="24"/>
        </w:rPr>
      </w:pPr>
      <w:r w:rsidRPr="00FE1E6E">
        <w:rPr>
          <w:rFonts w:ascii="Kinnari" w:eastAsia="Kinnari" w:hAnsi="Kinnari" w:cs="Kinnari"/>
          <w:color w:val="00000A"/>
          <w:sz w:val="24"/>
          <w:szCs w:val="24"/>
        </w:rPr>
        <w:t>由於物種本身的保育價值是會受到個人主觀及偏好性而影響。</w:t>
      </w:r>
    </w:p>
    <w:p w14:paraId="6CD2B9EE" w14:textId="77777777" w:rsidR="002A1C85" w:rsidRDefault="002A1C85">
      <w:pPr>
        <w:pStyle w:val="10"/>
        <w:widowControl w:val="0"/>
        <w:spacing w:line="360" w:lineRule="auto"/>
        <w:jc w:val="both"/>
        <w:rPr>
          <w:rFonts w:ascii="新細明體" w:eastAsia="新細明體" w:hAnsi="新細明體" w:cs="新細明體"/>
          <w:color w:val="FF0000"/>
          <w:sz w:val="24"/>
          <w:szCs w:val="24"/>
        </w:rPr>
      </w:pPr>
    </w:p>
    <w:p w14:paraId="6B33D52C" w14:textId="77777777" w:rsidR="00EF09A6" w:rsidRDefault="001217C9">
      <w:pPr>
        <w:pStyle w:val="10"/>
        <w:widowControl w:val="0"/>
        <w:spacing w:line="360" w:lineRule="auto"/>
        <w:jc w:val="both"/>
        <w:rPr>
          <w:rFonts w:ascii="新細明體" w:eastAsia="新細明體" w:hAnsi="新細明體" w:cs="新細明體"/>
          <w:color w:val="00000A"/>
          <w:sz w:val="24"/>
          <w:szCs w:val="24"/>
        </w:rPr>
      </w:pPr>
      <w:commentRangeStart w:id="23"/>
      <w:r>
        <w:rPr>
          <w:rFonts w:ascii="Kinnari" w:eastAsia="Kinnari" w:hAnsi="Kinnari" w:cs="Kinnari"/>
          <w:color w:val="00000A"/>
          <w:sz w:val="24"/>
          <w:szCs w:val="24"/>
        </w:rPr>
        <w:t>偏好控制了決策，決定了我們的選擇。偏好是進行任何決策的核心(Fishburn 1970)</w:t>
      </w:r>
      <w:commentRangeEnd w:id="23"/>
      <w:r w:rsidR="00AD674A">
        <w:rPr>
          <w:rStyle w:val="ad"/>
        </w:rPr>
        <w:commentReference w:id="23"/>
      </w:r>
      <w:r>
        <w:rPr>
          <w:rFonts w:ascii="Kinnari" w:eastAsia="Kinnari" w:hAnsi="Kinnari" w:cs="Kinnari"/>
          <w:color w:val="00000A"/>
          <w:sz w:val="24"/>
          <w:szCs w:val="24"/>
        </w:rPr>
        <w:t>。因此，要設立保育優先順序的排名前，</w:t>
      </w:r>
      <w:r w:rsidR="00AD674A">
        <w:rPr>
          <w:rFonts w:ascii="Kinnari" w:eastAsia="Kinnari" w:hAnsi="Kinnari" w:cs="Kinnari"/>
          <w:color w:val="00000A"/>
          <w:sz w:val="24"/>
          <w:szCs w:val="24"/>
        </w:rPr>
        <w:t>應該</w:t>
      </w:r>
      <w:r>
        <w:rPr>
          <w:rFonts w:ascii="Kinnari" w:eastAsia="Kinnari" w:hAnsi="Kinnari" w:cs="Kinnari"/>
          <w:color w:val="00000A"/>
          <w:sz w:val="24"/>
          <w:szCs w:val="24"/>
        </w:rPr>
        <w:t>要先定義</w:t>
      </w:r>
      <w:r w:rsidR="00AD674A">
        <w:rPr>
          <w:rFonts w:ascii="Kinnari" w:eastAsia="Kinnari" w:hAnsi="Kinnari" w:cs="Kinnari"/>
          <w:color w:val="00000A"/>
          <w:sz w:val="24"/>
          <w:szCs w:val="24"/>
        </w:rPr>
        <w:t>好所謂「保育偏好」</w:t>
      </w:r>
      <w:r>
        <w:rPr>
          <w:rFonts w:ascii="Kinnari" w:eastAsia="Kinnari" w:hAnsi="Kinnari" w:cs="Kinnari"/>
          <w:color w:val="00000A"/>
          <w:sz w:val="24"/>
          <w:szCs w:val="24"/>
        </w:rPr>
        <w:t>，意即</w:t>
      </w:r>
      <w:ins w:id="24" w:author="lenovo" w:date="2017-04-20T14:34:00Z">
        <w:r w:rsidR="00EF09A6">
          <w:rPr>
            <w:rFonts w:ascii="Kinnari" w:eastAsia="Kinnari" w:hAnsi="Kinnari" w:cs="Kinnari"/>
            <w:color w:val="00000A"/>
            <w:sz w:val="24"/>
            <w:szCs w:val="24"/>
          </w:rPr>
          <w:t>「保育目標」，也就是</w:t>
        </w:r>
      </w:ins>
      <w:ins w:id="25" w:author="lenovo" w:date="2017-04-20T11:31:00Z">
        <w:r w:rsidR="00AD674A">
          <w:rPr>
            <w:rFonts w:ascii="Kinnari" w:eastAsia="Kinnari" w:hAnsi="Kinnari" w:cs="Kinnari"/>
            <w:color w:val="00000A"/>
            <w:sz w:val="24"/>
            <w:szCs w:val="24"/>
          </w:rPr>
          <w:t>「此項</w:t>
        </w:r>
      </w:ins>
      <w:r>
        <w:rPr>
          <w:rFonts w:ascii="Kinnari" w:eastAsia="Kinnari" w:hAnsi="Kinnari" w:cs="Kinnari"/>
          <w:color w:val="00000A"/>
          <w:sz w:val="24"/>
          <w:szCs w:val="24"/>
        </w:rPr>
        <w:t>保育</w:t>
      </w:r>
      <w:ins w:id="26" w:author="lenovo" w:date="2017-04-20T11:31:00Z">
        <w:r w:rsidR="00AD674A">
          <w:rPr>
            <w:rFonts w:ascii="Kinnari" w:eastAsia="Kinnari" w:hAnsi="Kinnari" w:cs="Kinnari"/>
            <w:color w:val="00000A"/>
            <w:sz w:val="24"/>
            <w:szCs w:val="24"/>
          </w:rPr>
          <w:t>工作</w:t>
        </w:r>
      </w:ins>
      <w:r>
        <w:rPr>
          <w:rFonts w:ascii="Kinnari" w:eastAsia="Kinnari" w:hAnsi="Kinnari" w:cs="Kinnari"/>
          <w:color w:val="00000A"/>
          <w:sz w:val="24"/>
          <w:szCs w:val="24"/>
        </w:rPr>
        <w:t>是想要達到什麼?</w:t>
      </w:r>
      <w:ins w:id="27" w:author="lenovo" w:date="2017-04-20T11:31:00Z">
        <w:r w:rsidR="00AD674A">
          <w:rPr>
            <w:rFonts w:ascii="Kinnari" w:eastAsia="Kinnari" w:hAnsi="Kinnari" w:cs="Kinnari"/>
            <w:color w:val="00000A"/>
            <w:sz w:val="24"/>
            <w:szCs w:val="24"/>
          </w:rPr>
          <w:t>」，才能確定</w:t>
        </w:r>
      </w:ins>
      <w:del w:id="28" w:author="lenovo" w:date="2017-04-20T11:32:00Z">
        <w:r w:rsidDel="00AD674A">
          <w:rPr>
            <w:rFonts w:ascii="Kinnari" w:eastAsia="Kinnari" w:hAnsi="Kinnari" w:cs="Kinnari"/>
            <w:color w:val="00000A"/>
            <w:sz w:val="24"/>
            <w:szCs w:val="24"/>
          </w:rPr>
          <w:delText>並由此決定這份</w:delText>
        </w:r>
      </w:del>
      <w:r>
        <w:rPr>
          <w:rFonts w:ascii="Kinnari" w:eastAsia="Kinnari" w:hAnsi="Kinnari" w:cs="Kinnari"/>
          <w:color w:val="00000A"/>
          <w:sz w:val="24"/>
          <w:szCs w:val="24"/>
        </w:rPr>
        <w:t>排序系統</w:t>
      </w:r>
      <w:ins w:id="29" w:author="lenovo" w:date="2017-04-20T11:32:00Z">
        <w:r w:rsidR="00AD674A">
          <w:rPr>
            <w:rFonts w:ascii="Kinnari" w:hAnsi="Kinnari" w:cs="Kinnari" w:hint="eastAsia"/>
            <w:color w:val="00000A"/>
            <w:sz w:val="24"/>
            <w:szCs w:val="24"/>
          </w:rPr>
          <w:t>該</w:t>
        </w:r>
      </w:ins>
      <w:del w:id="30" w:author="lenovo" w:date="2017-04-20T11:32:00Z">
        <w:r w:rsidDel="00AD674A">
          <w:rPr>
            <w:rFonts w:ascii="Kinnari" w:eastAsia="Kinnari" w:hAnsi="Kinnari" w:cs="Kinnari"/>
            <w:color w:val="00000A"/>
            <w:sz w:val="24"/>
            <w:szCs w:val="24"/>
          </w:rPr>
          <w:delText>是</w:delText>
        </w:r>
      </w:del>
      <w:r>
        <w:rPr>
          <w:rFonts w:ascii="Kinnari" w:eastAsia="Kinnari" w:hAnsi="Kinnari" w:cs="Kinnari"/>
          <w:color w:val="00000A"/>
          <w:sz w:val="24"/>
          <w:szCs w:val="24"/>
        </w:rPr>
        <w:t>針對</w:t>
      </w:r>
      <w:ins w:id="31" w:author="lenovo" w:date="2017-04-20T11:32:00Z">
        <w:r w:rsidR="00AD674A">
          <w:rPr>
            <w:rFonts w:ascii="Kinnari" w:hAnsi="Kinnari" w:cs="Kinnari" w:hint="eastAsia"/>
            <w:color w:val="00000A"/>
            <w:sz w:val="24"/>
            <w:szCs w:val="24"/>
          </w:rPr>
          <w:t>何種</w:t>
        </w:r>
      </w:ins>
      <w:del w:id="32" w:author="lenovo" w:date="2017-04-20T11:32:00Z">
        <w:r w:rsidDel="00AD674A">
          <w:rPr>
            <w:rFonts w:ascii="Kinnari" w:eastAsia="Kinnari" w:hAnsi="Kinnari" w:cs="Kinnari"/>
            <w:color w:val="00000A"/>
            <w:sz w:val="24"/>
            <w:szCs w:val="24"/>
          </w:rPr>
          <w:delText>什麼樣的</w:delText>
        </w:r>
      </w:del>
      <w:r>
        <w:rPr>
          <w:rFonts w:ascii="Kinnari" w:eastAsia="Kinnari" w:hAnsi="Kinnari" w:cs="Kinnari"/>
          <w:color w:val="00000A"/>
          <w:sz w:val="24"/>
          <w:szCs w:val="24"/>
        </w:rPr>
        <w:t>保育目標而</w:t>
      </w:r>
      <w:r w:rsidR="00AD674A">
        <w:rPr>
          <w:rFonts w:ascii="Kinnari" w:eastAsia="Kinnari" w:hAnsi="Kinnari" w:cs="Kinnari"/>
          <w:color w:val="00000A"/>
          <w:sz w:val="24"/>
          <w:szCs w:val="24"/>
        </w:rPr>
        <w:t>進行</w:t>
      </w:r>
      <w:r>
        <w:rPr>
          <w:rFonts w:ascii="Kinnari" w:eastAsia="Kinnari" w:hAnsi="Kinnari" w:cs="Kinnari"/>
          <w:color w:val="00000A"/>
          <w:sz w:val="24"/>
          <w:szCs w:val="24"/>
        </w:rPr>
        <w:t>，</w:t>
      </w:r>
      <w:r>
        <w:rPr>
          <w:rFonts w:ascii="新細明體" w:eastAsia="新細明體" w:hAnsi="新細明體" w:cs="新細明體"/>
          <w:color w:val="00000A"/>
          <w:sz w:val="24"/>
          <w:szCs w:val="24"/>
        </w:rPr>
        <w:t>並依此</w:t>
      </w:r>
      <w:r w:rsidR="00EF09A6">
        <w:rPr>
          <w:rFonts w:ascii="新細明體" w:eastAsia="新細明體" w:hAnsi="新細明體" w:cs="新細明體"/>
          <w:color w:val="00000A"/>
          <w:sz w:val="24"/>
          <w:szCs w:val="24"/>
        </w:rPr>
        <w:t>作為計算</w:t>
      </w:r>
      <w:r>
        <w:rPr>
          <w:rFonts w:ascii="新細明體" w:eastAsia="新細明體" w:hAnsi="新細明體" w:cs="新細明體"/>
          <w:color w:val="00000A"/>
          <w:sz w:val="24"/>
          <w:szCs w:val="24"/>
        </w:rPr>
        <w:t>各物種保育價值</w:t>
      </w:r>
      <w:r w:rsidR="00EF09A6">
        <w:rPr>
          <w:rFonts w:ascii="新細明體" w:eastAsia="新細明體" w:hAnsi="新細明體" w:cs="新細明體"/>
          <w:color w:val="00000A"/>
          <w:sz w:val="24"/>
          <w:szCs w:val="24"/>
        </w:rPr>
        <w:t>的依據</w:t>
      </w:r>
      <w:r>
        <w:rPr>
          <w:rFonts w:ascii="新細明體" w:eastAsia="新細明體" w:hAnsi="新細明體" w:cs="新細明體"/>
          <w:color w:val="00000A"/>
          <w:sz w:val="24"/>
          <w:szCs w:val="24"/>
        </w:rPr>
        <w:t>。</w:t>
      </w:r>
    </w:p>
    <w:p w14:paraId="3E85E09C" w14:textId="77777777" w:rsidR="00EF09A6" w:rsidRDefault="00EF09A6">
      <w:pPr>
        <w:pStyle w:val="10"/>
        <w:widowControl w:val="0"/>
        <w:spacing w:line="360" w:lineRule="auto"/>
        <w:jc w:val="both"/>
        <w:rPr>
          <w:rFonts w:ascii="新細明體" w:eastAsia="新細明體" w:hAnsi="新細明體" w:cs="新細明體"/>
          <w:color w:val="00000A"/>
          <w:sz w:val="24"/>
          <w:szCs w:val="24"/>
        </w:rPr>
      </w:pPr>
    </w:p>
    <w:p w14:paraId="3106A29B" w14:textId="77777777" w:rsidR="002A1C85" w:rsidDel="00A04528" w:rsidRDefault="00EF09A6">
      <w:pPr>
        <w:pStyle w:val="10"/>
        <w:widowControl w:val="0"/>
        <w:spacing w:line="360" w:lineRule="auto"/>
        <w:jc w:val="both"/>
        <w:rPr>
          <w:del w:id="33" w:author="lenovo" w:date="2017-04-20T14:44:00Z"/>
          <w:rFonts w:ascii="Calibri" w:eastAsia="Calibri" w:hAnsi="Calibri" w:cs="Calibri"/>
          <w:color w:val="00000A"/>
          <w:sz w:val="24"/>
          <w:szCs w:val="24"/>
        </w:rPr>
      </w:pPr>
      <w:r>
        <w:rPr>
          <w:rFonts w:ascii="Kinnari" w:hAnsi="Kinnari" w:cs="Kinnari" w:hint="eastAsia"/>
          <w:color w:val="00000A"/>
          <w:sz w:val="24"/>
          <w:szCs w:val="24"/>
        </w:rPr>
        <w:t>舉例來說，如果</w:t>
      </w:r>
      <w:r w:rsidR="001217C9">
        <w:rPr>
          <w:rFonts w:ascii="Kinnari" w:eastAsia="Kinnari" w:hAnsi="Kinnari" w:cs="Kinnari"/>
          <w:color w:val="00000A"/>
          <w:sz w:val="24"/>
          <w:szCs w:val="24"/>
        </w:rPr>
        <w:t>將保育價值(V)</w:t>
      </w:r>
      <w:r w:rsidR="00A04528">
        <w:rPr>
          <w:rFonts w:ascii="Kinnari" w:hAnsi="Kinnari" w:cs="Kinnari" w:hint="eastAsia"/>
          <w:color w:val="00000A"/>
          <w:sz w:val="24"/>
          <w:szCs w:val="24"/>
        </w:rPr>
        <w:t>以下述</w:t>
      </w:r>
      <w:del w:id="34" w:author="lenovo" w:date="2017-04-20T14:43:00Z">
        <w:r w:rsidR="001217C9" w:rsidDel="00A04528">
          <w:rPr>
            <w:rFonts w:ascii="Kinnari" w:eastAsia="Kinnari" w:hAnsi="Kinnari" w:cs="Kinnari"/>
            <w:color w:val="00000A"/>
            <w:sz w:val="24"/>
            <w:szCs w:val="24"/>
          </w:rPr>
          <w:delText>拆解成</w:delText>
        </w:r>
      </w:del>
      <w:r w:rsidR="001217C9">
        <w:rPr>
          <w:rFonts w:ascii="Kinnari" w:eastAsia="Kinnari" w:hAnsi="Kinnari" w:cs="Kinnari"/>
          <w:color w:val="00000A"/>
          <w:sz w:val="24"/>
          <w:szCs w:val="24"/>
        </w:rPr>
        <w:t>三項保育目標</w:t>
      </w:r>
      <w:ins w:id="35" w:author="lenovo" w:date="2017-04-20T14:44:00Z">
        <w:r w:rsidR="00A04528">
          <w:rPr>
            <w:rFonts w:ascii="Kinnari" w:eastAsia="Kinnari" w:hAnsi="Kinnari" w:cs="Kinnari"/>
            <w:color w:val="00000A"/>
            <w:sz w:val="24"/>
            <w:szCs w:val="24"/>
          </w:rPr>
          <w:t>考慮的話</w:t>
        </w:r>
      </w:ins>
      <w:r w:rsidR="001217C9">
        <w:rPr>
          <w:rFonts w:ascii="Kinnari" w:eastAsia="Kinnari" w:hAnsi="Kinnari" w:cs="Kinnari"/>
          <w:color w:val="00000A"/>
          <w:sz w:val="24"/>
          <w:szCs w:val="24"/>
        </w:rPr>
        <w:t>:永續利用</w:t>
      </w:r>
      <w:r w:rsidR="001217C9">
        <w:rPr>
          <w:rFonts w:ascii="新細明體" w:eastAsia="新細明體" w:hAnsi="新細明體" w:cs="新細明體"/>
          <w:color w:val="00000A"/>
          <w:sz w:val="24"/>
          <w:szCs w:val="24"/>
        </w:rPr>
        <w:t>(</w:t>
      </w:r>
      <w:r w:rsidR="001217C9">
        <w:rPr>
          <w:rFonts w:ascii="Kinnari" w:eastAsia="Kinnari" w:hAnsi="Kinnari" w:cs="Kinnari"/>
          <w:color w:val="00000A"/>
          <w:sz w:val="24"/>
          <w:szCs w:val="24"/>
        </w:rPr>
        <w:t>V1)、維持生物多樣性(V2)、減緩物種滅絕速度(V3)。</w:t>
      </w:r>
    </w:p>
    <w:p w14:paraId="6698D74B" w14:textId="77777777" w:rsidR="002A1C85" w:rsidRPr="00A04528" w:rsidDel="00A04528" w:rsidRDefault="002A1C85">
      <w:pPr>
        <w:pStyle w:val="10"/>
        <w:widowControl w:val="0"/>
        <w:spacing w:line="360" w:lineRule="auto"/>
        <w:jc w:val="both"/>
        <w:rPr>
          <w:del w:id="36" w:author="lenovo" w:date="2017-04-20T14:44:00Z"/>
          <w:rFonts w:ascii="Kinnari" w:hAnsi="Kinnari" w:cs="Kinnari"/>
          <w:color w:val="00000A"/>
          <w:sz w:val="24"/>
          <w:szCs w:val="24"/>
          <w:rPrChange w:id="37" w:author="lenovo" w:date="2017-04-20T14:44:00Z">
            <w:rPr>
              <w:del w:id="38" w:author="lenovo" w:date="2017-04-20T14:44:00Z"/>
              <w:rFonts w:ascii="Kinnari" w:eastAsia="Kinnari" w:hAnsi="Kinnari" w:cs="Kinnari"/>
              <w:color w:val="00000A"/>
              <w:sz w:val="24"/>
              <w:szCs w:val="24"/>
            </w:rPr>
          </w:rPrChange>
        </w:rPr>
      </w:pPr>
    </w:p>
    <w:p w14:paraId="108840ED" w14:textId="77777777" w:rsidR="002A1C85" w:rsidRDefault="001217C9">
      <w:pPr>
        <w:pStyle w:val="10"/>
        <w:widowControl w:val="0"/>
        <w:spacing w:line="360" w:lineRule="auto"/>
        <w:jc w:val="both"/>
        <w:rPr>
          <w:rFonts w:ascii="Calibri" w:eastAsia="Calibri" w:hAnsi="Calibri" w:cs="Calibri"/>
          <w:color w:val="00000A"/>
          <w:sz w:val="24"/>
          <w:szCs w:val="24"/>
        </w:rPr>
      </w:pPr>
      <w:r>
        <w:rPr>
          <w:rFonts w:ascii="Kinnari" w:eastAsia="Kinnari" w:hAnsi="Kinnari" w:cs="Kinnari"/>
          <w:color w:val="00000A"/>
          <w:sz w:val="24"/>
          <w:szCs w:val="24"/>
        </w:rPr>
        <w:t>同一物種，</w:t>
      </w:r>
      <w:r w:rsidR="00EF09A6">
        <w:rPr>
          <w:rFonts w:ascii="Kinnari" w:eastAsia="Kinnari" w:hAnsi="Kinnari" w:cs="Kinnari"/>
          <w:color w:val="00000A"/>
          <w:sz w:val="24"/>
          <w:szCs w:val="24"/>
        </w:rPr>
        <w:t>可能會因</w:t>
      </w:r>
      <w:r>
        <w:rPr>
          <w:rFonts w:ascii="Kinnari" w:eastAsia="Kinnari" w:hAnsi="Kinnari" w:cs="Kinnari"/>
          <w:color w:val="00000A"/>
          <w:sz w:val="24"/>
          <w:szCs w:val="24"/>
        </w:rPr>
        <w:t>不同保育目標</w:t>
      </w:r>
      <w:r w:rsidR="00EF09A6">
        <w:rPr>
          <w:rFonts w:ascii="Kinnari" w:hAnsi="Kinnari" w:cs="Kinnari" w:hint="eastAsia"/>
          <w:color w:val="00000A"/>
          <w:sz w:val="24"/>
          <w:szCs w:val="24"/>
        </w:rPr>
        <w:t>的</w:t>
      </w:r>
      <w:r>
        <w:rPr>
          <w:rFonts w:ascii="Kinnari" w:eastAsia="Kinnari" w:hAnsi="Kinnari" w:cs="Kinnari"/>
          <w:color w:val="00000A"/>
          <w:sz w:val="24"/>
          <w:szCs w:val="24"/>
        </w:rPr>
        <w:t>設立</w:t>
      </w:r>
      <w:r w:rsidR="00EF09A6">
        <w:rPr>
          <w:rFonts w:ascii="Kinnari" w:eastAsia="Kinnari" w:hAnsi="Kinnari" w:cs="Kinnari"/>
          <w:color w:val="00000A"/>
          <w:sz w:val="24"/>
          <w:szCs w:val="24"/>
        </w:rPr>
        <w:t>，而有不同的</w:t>
      </w:r>
      <w:r>
        <w:rPr>
          <w:rFonts w:ascii="Kinnari" w:eastAsia="Kinnari" w:hAnsi="Kinnari" w:cs="Kinnari"/>
          <w:color w:val="00000A"/>
          <w:sz w:val="24"/>
          <w:szCs w:val="24"/>
        </w:rPr>
        <w:t>保育價值</w:t>
      </w:r>
      <w:r w:rsidR="00EF09A6">
        <w:rPr>
          <w:rFonts w:ascii="Kinnari" w:eastAsia="Kinnari" w:hAnsi="Kinnari" w:cs="Kinnari"/>
          <w:color w:val="00000A"/>
          <w:sz w:val="24"/>
          <w:szCs w:val="24"/>
        </w:rPr>
        <w:t>估計</w:t>
      </w:r>
      <w:r>
        <w:rPr>
          <w:rFonts w:ascii="Kinnari" w:eastAsia="Kinnari" w:hAnsi="Kinnari" w:cs="Kinnari"/>
          <w:color w:val="00000A"/>
          <w:sz w:val="24"/>
          <w:szCs w:val="24"/>
        </w:rPr>
        <w:t>。假</w:t>
      </w:r>
      <w:r w:rsidR="00EF09A6">
        <w:rPr>
          <w:rFonts w:ascii="Kinnari" w:hAnsi="Kinnari" w:cs="Kinnari" w:hint="eastAsia"/>
          <w:color w:val="00000A"/>
          <w:sz w:val="24"/>
          <w:szCs w:val="24"/>
        </w:rPr>
        <w:t>如</w:t>
      </w:r>
      <w:r>
        <w:rPr>
          <w:rFonts w:ascii="Kinnari" w:eastAsia="Kinnari" w:hAnsi="Kinnari" w:cs="Kinnari"/>
          <w:color w:val="00000A"/>
          <w:sz w:val="24"/>
          <w:szCs w:val="24"/>
        </w:rPr>
        <w:t>我們最主要的保育目標是永續利用時，極危但是僅具有極低經濟價值的物種，其保育價值</w:t>
      </w:r>
      <w:r w:rsidR="00EF09A6">
        <w:rPr>
          <w:rFonts w:ascii="Kinnari" w:eastAsia="Kinnari" w:hAnsi="Kinnari" w:cs="Kinnari"/>
          <w:color w:val="00000A"/>
          <w:sz w:val="24"/>
          <w:szCs w:val="24"/>
        </w:rPr>
        <w:t>應該</w:t>
      </w:r>
      <w:r>
        <w:rPr>
          <w:rFonts w:ascii="Kinnari" w:eastAsia="Kinnari" w:hAnsi="Kinnari" w:cs="Kinnari"/>
          <w:color w:val="00000A"/>
          <w:sz w:val="24"/>
          <w:szCs w:val="24"/>
        </w:rPr>
        <w:t>會比易危但具有極高經濟價值的物種還低；但若是在以減緩物種滅絕速度為優先的排序系統時，</w:t>
      </w:r>
      <w:r w:rsidR="00EF09A6">
        <w:rPr>
          <w:rFonts w:ascii="Kinnari" w:hAnsi="Kinnari" w:cs="Kinnari" w:hint="eastAsia"/>
          <w:color w:val="00000A"/>
          <w:sz w:val="24"/>
          <w:szCs w:val="24"/>
        </w:rPr>
        <w:t>前</w:t>
      </w:r>
      <w:r>
        <w:rPr>
          <w:rFonts w:ascii="Kinnari" w:eastAsia="Kinnari" w:hAnsi="Kinnari" w:cs="Kinnari"/>
          <w:color w:val="00000A"/>
          <w:sz w:val="24"/>
          <w:szCs w:val="24"/>
        </w:rPr>
        <w:t>者</w:t>
      </w:r>
      <w:r w:rsidR="00EF09A6">
        <w:rPr>
          <w:rFonts w:ascii="Kinnari" w:eastAsia="Kinnari" w:hAnsi="Kinnari" w:cs="Kinnari"/>
          <w:color w:val="00000A"/>
          <w:sz w:val="24"/>
          <w:szCs w:val="24"/>
        </w:rPr>
        <w:t>反而</w:t>
      </w:r>
      <w:r>
        <w:rPr>
          <w:rFonts w:ascii="Kinnari" w:eastAsia="Kinnari" w:hAnsi="Kinnari" w:cs="Kinnari"/>
          <w:color w:val="00000A"/>
          <w:sz w:val="24"/>
          <w:szCs w:val="24"/>
        </w:rPr>
        <w:t>具有較</w:t>
      </w:r>
      <w:r w:rsidR="00EF09A6">
        <w:rPr>
          <w:rFonts w:ascii="Kinnari" w:eastAsia="Kinnari" w:hAnsi="Kinnari" w:cs="Kinnari"/>
          <w:color w:val="00000A"/>
          <w:sz w:val="24"/>
          <w:szCs w:val="24"/>
        </w:rPr>
        <w:t>高</w:t>
      </w:r>
      <w:r>
        <w:rPr>
          <w:rFonts w:ascii="Kinnari" w:eastAsia="Kinnari" w:hAnsi="Kinnari" w:cs="Kinnari"/>
          <w:color w:val="00000A"/>
          <w:sz w:val="24"/>
          <w:szCs w:val="24"/>
        </w:rPr>
        <w:t>的保育價值。</w:t>
      </w:r>
      <w:r w:rsidR="00EF09A6">
        <w:rPr>
          <w:rFonts w:ascii="Kinnari" w:eastAsia="Kinnari" w:hAnsi="Kinnari" w:cs="Kinnari"/>
          <w:color w:val="00000A"/>
          <w:sz w:val="24"/>
          <w:szCs w:val="24"/>
        </w:rPr>
        <w:t>因此我們認為</w:t>
      </w:r>
      <w:r>
        <w:rPr>
          <w:rFonts w:ascii="Kinnari" w:eastAsia="Kinnari" w:hAnsi="Kinnari" w:cs="Kinnari"/>
          <w:color w:val="00000A"/>
          <w:sz w:val="24"/>
          <w:szCs w:val="24"/>
        </w:rPr>
        <w:lastRenderedPageBreak/>
        <w:t>必須要</w:t>
      </w:r>
      <w:r w:rsidR="00A04528">
        <w:rPr>
          <w:rFonts w:ascii="Kinnari" w:eastAsia="Kinnari" w:hAnsi="Kinnari" w:cs="Kinnari"/>
          <w:color w:val="00000A"/>
          <w:sz w:val="24"/>
          <w:szCs w:val="24"/>
        </w:rPr>
        <w:t>先</w:t>
      </w:r>
      <w:r>
        <w:rPr>
          <w:rFonts w:ascii="Kinnari" w:eastAsia="Kinnari" w:hAnsi="Kinnari" w:cs="Kinnari"/>
          <w:color w:val="00000A"/>
          <w:sz w:val="24"/>
          <w:szCs w:val="24"/>
        </w:rPr>
        <w:t>明確地定義</w:t>
      </w:r>
      <w:r w:rsidR="00EF09A6">
        <w:rPr>
          <w:rFonts w:ascii="Kinnari" w:hAnsi="Kinnari" w:cs="Kinnari" w:hint="eastAsia"/>
          <w:color w:val="00000A"/>
          <w:sz w:val="24"/>
          <w:szCs w:val="24"/>
        </w:rPr>
        <w:t>出</w:t>
      </w:r>
      <w:r w:rsidR="00EF09A6">
        <w:rPr>
          <w:rFonts w:ascii="Kinnari" w:eastAsia="Kinnari" w:hAnsi="Kinnari" w:cs="Kinnari"/>
          <w:color w:val="00000A"/>
          <w:sz w:val="24"/>
          <w:szCs w:val="24"/>
        </w:rPr>
        <w:t>「</w:t>
      </w:r>
      <w:r>
        <w:rPr>
          <w:rFonts w:ascii="Kinnari" w:eastAsia="Kinnari" w:hAnsi="Kinnari" w:cs="Kinnari"/>
          <w:color w:val="00000A"/>
          <w:sz w:val="24"/>
          <w:szCs w:val="24"/>
        </w:rPr>
        <w:t>保育目標</w:t>
      </w:r>
      <w:r w:rsidR="00EF09A6">
        <w:rPr>
          <w:rFonts w:ascii="Kinnari" w:eastAsia="Kinnari" w:hAnsi="Kinnari" w:cs="Kinnari"/>
          <w:color w:val="00000A"/>
          <w:sz w:val="24"/>
          <w:szCs w:val="24"/>
        </w:rPr>
        <w:t>」</w:t>
      </w:r>
      <w:r>
        <w:rPr>
          <w:rFonts w:ascii="Kinnari" w:eastAsia="Kinnari" w:hAnsi="Kinnari" w:cs="Kinnari"/>
          <w:color w:val="00000A"/>
          <w:sz w:val="24"/>
          <w:szCs w:val="24"/>
        </w:rPr>
        <w:t>，</w:t>
      </w:r>
      <w:r w:rsidR="00A04528">
        <w:rPr>
          <w:rFonts w:ascii="Kinnari" w:eastAsia="Kinnari" w:hAnsi="Kinnari" w:cs="Kinnari"/>
          <w:color w:val="00000A"/>
          <w:sz w:val="24"/>
          <w:szCs w:val="24"/>
        </w:rPr>
        <w:t>再來進行後續的討論與評估，以免過於</w:t>
      </w:r>
      <w:r>
        <w:rPr>
          <w:rFonts w:ascii="Kinnari" w:eastAsia="Kinnari" w:hAnsi="Kinnari" w:cs="Kinnari"/>
          <w:color w:val="00000A"/>
          <w:sz w:val="24"/>
          <w:szCs w:val="24"/>
        </w:rPr>
        <w:t>主觀</w:t>
      </w:r>
      <w:r w:rsidR="00A04528">
        <w:rPr>
          <w:rFonts w:ascii="Kinnari" w:eastAsia="Kinnari" w:hAnsi="Kinnari" w:cs="Kinnari"/>
          <w:color w:val="00000A"/>
          <w:sz w:val="24"/>
          <w:szCs w:val="24"/>
        </w:rPr>
        <w:t>評定</w:t>
      </w:r>
      <w:r>
        <w:rPr>
          <w:rFonts w:ascii="Kinnari" w:eastAsia="Kinnari" w:hAnsi="Kinnari" w:cs="Kinnari"/>
          <w:color w:val="00000A"/>
          <w:sz w:val="24"/>
          <w:szCs w:val="24"/>
        </w:rPr>
        <w:t>。</w:t>
      </w:r>
      <w:r w:rsidR="00A04528">
        <w:rPr>
          <w:rFonts w:ascii="Kinnari" w:eastAsia="Kinnari" w:hAnsi="Kinnari" w:cs="Kinnari"/>
          <w:color w:val="00000A"/>
          <w:sz w:val="24"/>
          <w:szCs w:val="24"/>
        </w:rPr>
        <w:t>若設立</w:t>
      </w:r>
      <w:r>
        <w:rPr>
          <w:rFonts w:ascii="Kinnari" w:eastAsia="Kinnari" w:hAnsi="Kinnari" w:cs="Kinnari"/>
          <w:color w:val="00000A"/>
          <w:sz w:val="24"/>
          <w:szCs w:val="24"/>
        </w:rPr>
        <w:t>多重保育目標時，則</w:t>
      </w:r>
      <w:r w:rsidR="00A04528">
        <w:rPr>
          <w:rFonts w:ascii="Kinnari" w:hAnsi="Kinnari" w:cs="Kinnari" w:hint="eastAsia"/>
          <w:color w:val="00000A"/>
          <w:sz w:val="24"/>
          <w:szCs w:val="24"/>
        </w:rPr>
        <w:t>可以將</w:t>
      </w:r>
      <w:r>
        <w:rPr>
          <w:rFonts w:ascii="Kinnari" w:eastAsia="Kinnari" w:hAnsi="Kinnari" w:cs="Kinnari"/>
          <w:color w:val="00000A"/>
          <w:sz w:val="24"/>
          <w:szCs w:val="24"/>
        </w:rPr>
        <w:t>各目標相對權重</w:t>
      </w:r>
      <w:r w:rsidR="00A04528">
        <w:rPr>
          <w:rFonts w:ascii="Kinnari" w:eastAsia="Kinnari" w:hAnsi="Kinnari" w:cs="Kinnari"/>
          <w:color w:val="00000A"/>
          <w:sz w:val="24"/>
          <w:szCs w:val="24"/>
        </w:rPr>
        <w:t>定義，確立主次要目標等的差異</w:t>
      </w:r>
      <w:r>
        <w:rPr>
          <w:rFonts w:ascii="Kinnari" w:eastAsia="Kinnari" w:hAnsi="Kinnari" w:cs="Kinnari"/>
          <w:color w:val="00000A"/>
          <w:sz w:val="24"/>
          <w:szCs w:val="24"/>
        </w:rPr>
        <w:t>，再來</w:t>
      </w:r>
      <w:r w:rsidR="00A04528">
        <w:rPr>
          <w:rFonts w:ascii="Kinnari" w:hAnsi="Kinnari" w:cs="Kinnari" w:hint="eastAsia"/>
          <w:color w:val="00000A"/>
          <w:sz w:val="24"/>
          <w:szCs w:val="24"/>
        </w:rPr>
        <w:t>估計</w:t>
      </w:r>
      <w:r>
        <w:rPr>
          <w:rFonts w:ascii="Kinnari" w:eastAsia="Kinnari" w:hAnsi="Kinnari" w:cs="Kinnari"/>
          <w:color w:val="00000A"/>
          <w:sz w:val="24"/>
          <w:szCs w:val="24"/>
        </w:rPr>
        <w:t>物種價值。</w:t>
      </w:r>
    </w:p>
    <w:p w14:paraId="562F6E0E" w14:textId="77777777" w:rsidR="002A1C85" w:rsidRDefault="002A1C85">
      <w:pPr>
        <w:pStyle w:val="10"/>
        <w:widowControl w:val="0"/>
        <w:spacing w:line="360" w:lineRule="auto"/>
        <w:jc w:val="both"/>
        <w:rPr>
          <w:rFonts w:ascii="Kinnari" w:eastAsia="Kinnari" w:hAnsi="Kinnari" w:cs="Kinnari"/>
          <w:color w:val="00000A"/>
          <w:sz w:val="24"/>
          <w:szCs w:val="24"/>
        </w:rPr>
      </w:pPr>
    </w:p>
    <w:p w14:paraId="749E047F" w14:textId="77777777" w:rsidR="002A1C85" w:rsidRDefault="00D27171">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訂立</w:t>
      </w:r>
      <w:r>
        <w:rPr>
          <w:rFonts w:ascii="Kinnari" w:hAnsi="Kinnari" w:cs="Kinnari" w:hint="eastAsia"/>
          <w:color w:val="00000A"/>
          <w:sz w:val="24"/>
          <w:szCs w:val="24"/>
        </w:rPr>
        <w:t>(</w:t>
      </w:r>
      <w:r>
        <w:rPr>
          <w:rFonts w:ascii="Kinnari" w:hAnsi="Kinnari" w:cs="Kinnari" w:hint="eastAsia"/>
          <w:color w:val="00000A"/>
          <w:sz w:val="24"/>
          <w:szCs w:val="24"/>
        </w:rPr>
        <w:t>各項</w:t>
      </w:r>
      <w:r>
        <w:rPr>
          <w:rFonts w:ascii="Kinnari" w:hAnsi="Kinnari" w:cs="Kinnari" w:hint="eastAsia"/>
          <w:color w:val="00000A"/>
          <w:sz w:val="24"/>
          <w:szCs w:val="24"/>
        </w:rPr>
        <w:t>)</w:t>
      </w:r>
      <w:r w:rsidR="001217C9">
        <w:rPr>
          <w:rFonts w:ascii="Kinnari" w:eastAsia="Kinnari" w:hAnsi="Kinnari" w:cs="Kinnari"/>
          <w:color w:val="00000A"/>
          <w:sz w:val="24"/>
          <w:szCs w:val="24"/>
        </w:rPr>
        <w:t>保育目標後，</w:t>
      </w:r>
      <w:r>
        <w:rPr>
          <w:rFonts w:ascii="Kinnari" w:eastAsia="Kinnari" w:hAnsi="Kinnari" w:cs="Kinnari"/>
          <w:color w:val="00000A"/>
          <w:sz w:val="24"/>
          <w:szCs w:val="24"/>
        </w:rPr>
        <w:t>才能設立各目標所</w:t>
      </w:r>
      <w:r w:rsidR="001217C9">
        <w:rPr>
          <w:rFonts w:ascii="Kinnari" w:eastAsia="Kinnari" w:hAnsi="Kinnari" w:cs="Kinnari"/>
          <w:color w:val="00000A"/>
          <w:sz w:val="24"/>
          <w:szCs w:val="24"/>
        </w:rPr>
        <w:t>相對應的指標</w:t>
      </w:r>
      <w:r>
        <w:rPr>
          <w:rFonts w:ascii="Kinnari" w:eastAsia="Kinnari" w:hAnsi="Kinnari" w:cs="Kinnari"/>
          <w:color w:val="00000A"/>
          <w:sz w:val="24"/>
          <w:szCs w:val="24"/>
        </w:rPr>
        <w:t>，</w:t>
      </w:r>
      <w:r w:rsidR="001217C9">
        <w:rPr>
          <w:rFonts w:ascii="Kinnari" w:eastAsia="Kinnari" w:hAnsi="Kinnari" w:cs="Kinnari"/>
          <w:color w:val="00000A"/>
          <w:sz w:val="24"/>
          <w:szCs w:val="24"/>
        </w:rPr>
        <w:t>以</w:t>
      </w:r>
      <w:r>
        <w:rPr>
          <w:rFonts w:ascii="Kinnari" w:eastAsia="Kinnari" w:hAnsi="Kinnari" w:cs="Kinnari"/>
          <w:color w:val="00000A"/>
          <w:sz w:val="24"/>
          <w:szCs w:val="24"/>
        </w:rPr>
        <w:t>便計算</w:t>
      </w:r>
      <w:r w:rsidR="001217C9">
        <w:rPr>
          <w:rFonts w:ascii="Kinnari" w:eastAsia="Kinnari" w:hAnsi="Kinnari" w:cs="Kinnari"/>
          <w:color w:val="00000A"/>
          <w:sz w:val="24"/>
          <w:szCs w:val="24"/>
        </w:rPr>
        <w:t>評估各物種</w:t>
      </w:r>
      <w:r>
        <w:rPr>
          <w:rFonts w:ascii="Kinnari" w:eastAsia="Kinnari" w:hAnsi="Kinnari" w:cs="Kinnari"/>
          <w:color w:val="00000A"/>
          <w:sz w:val="24"/>
          <w:szCs w:val="24"/>
        </w:rPr>
        <w:t>的實際</w:t>
      </w:r>
      <w:r w:rsidR="001217C9">
        <w:rPr>
          <w:rFonts w:ascii="Kinnari" w:eastAsia="Kinnari" w:hAnsi="Kinnari" w:cs="Kinnari"/>
          <w:color w:val="00000A"/>
          <w:sz w:val="24"/>
          <w:szCs w:val="24"/>
        </w:rPr>
        <w:t>保育價值。</w:t>
      </w:r>
      <w:r>
        <w:rPr>
          <w:rFonts w:ascii="Kinnari" w:eastAsia="Kinnari" w:hAnsi="Kinnari" w:cs="Kinnari"/>
          <w:color w:val="00000A"/>
          <w:sz w:val="24"/>
          <w:szCs w:val="24"/>
        </w:rPr>
        <w:t>文獻中</w:t>
      </w:r>
      <w:r w:rsidR="001217C9">
        <w:rPr>
          <w:rFonts w:ascii="Kinnari" w:eastAsia="Kinnari" w:hAnsi="Kinnari" w:cs="Kinnari"/>
          <w:color w:val="00000A"/>
          <w:sz w:val="24"/>
          <w:szCs w:val="24"/>
        </w:rPr>
        <w:t>常</w:t>
      </w:r>
      <w:r>
        <w:rPr>
          <w:rFonts w:ascii="Kinnari" w:eastAsia="Kinnari" w:hAnsi="Kinnari" w:cs="Kinnari"/>
          <w:color w:val="00000A"/>
          <w:sz w:val="24"/>
          <w:szCs w:val="24"/>
        </w:rPr>
        <w:t>可</w:t>
      </w:r>
      <w:r w:rsidR="001217C9">
        <w:rPr>
          <w:rFonts w:ascii="Kinnari" w:eastAsia="Kinnari" w:hAnsi="Kinnari" w:cs="Kinnari"/>
          <w:color w:val="00000A"/>
          <w:sz w:val="24"/>
          <w:szCs w:val="24"/>
        </w:rPr>
        <w:t>見</w:t>
      </w:r>
      <w:r>
        <w:rPr>
          <w:rFonts w:ascii="Kinnari" w:eastAsia="Kinnari" w:hAnsi="Kinnari" w:cs="Kinnari"/>
          <w:color w:val="00000A"/>
          <w:sz w:val="24"/>
          <w:szCs w:val="24"/>
        </w:rPr>
        <w:t>到</w:t>
      </w:r>
      <w:r w:rsidR="001217C9">
        <w:rPr>
          <w:rFonts w:ascii="Kinnari" w:eastAsia="Kinnari" w:hAnsi="Kinnari" w:cs="Kinnari"/>
          <w:color w:val="00000A"/>
          <w:sz w:val="24"/>
          <w:szCs w:val="24"/>
        </w:rPr>
        <w:t>的指標</w:t>
      </w:r>
      <w:r>
        <w:rPr>
          <w:rFonts w:ascii="Kinnari" w:eastAsia="Kinnari" w:hAnsi="Kinnari" w:cs="Kinnari"/>
          <w:color w:val="00000A"/>
          <w:sz w:val="24"/>
          <w:szCs w:val="24"/>
        </w:rPr>
        <w:t>可能</w:t>
      </w:r>
      <w:r w:rsidR="001217C9">
        <w:rPr>
          <w:rFonts w:ascii="Kinnari" w:eastAsia="Kinnari" w:hAnsi="Kinnari" w:cs="Kinnari"/>
          <w:color w:val="00000A"/>
          <w:sz w:val="24"/>
          <w:szCs w:val="24"/>
        </w:rPr>
        <w:t>包含</w:t>
      </w:r>
      <w:r>
        <w:rPr>
          <w:rFonts w:ascii="Kinnari" w:eastAsia="Kinnari" w:hAnsi="Kinnari" w:cs="Kinnari"/>
          <w:color w:val="00000A"/>
          <w:sz w:val="24"/>
          <w:szCs w:val="24"/>
        </w:rPr>
        <w:t>物種的</w:t>
      </w:r>
      <w:r w:rsidR="001217C9">
        <w:rPr>
          <w:rFonts w:ascii="Kinnari" w:eastAsia="Kinnari" w:hAnsi="Kinnari" w:cs="Kinnari"/>
          <w:color w:val="00000A"/>
          <w:sz w:val="24"/>
          <w:szCs w:val="24"/>
        </w:rPr>
        <w:t>經濟價值、生態重要性、瀕危等級、特有性、親緣獨特性等</w:t>
      </w:r>
      <w:r>
        <w:rPr>
          <w:rFonts w:ascii="Kinnari" w:eastAsia="Kinnari" w:hAnsi="Kinnari" w:cs="Kinnari"/>
          <w:color w:val="00000A"/>
          <w:sz w:val="24"/>
          <w:szCs w:val="24"/>
        </w:rPr>
        <w:t>，彙整如</w:t>
      </w:r>
      <w:r w:rsidR="001217C9">
        <w:rPr>
          <w:rFonts w:ascii="Kinnari" w:eastAsia="Kinnari" w:hAnsi="Kinnari" w:cs="Kinnari"/>
          <w:color w:val="00000A"/>
          <w:sz w:val="24"/>
          <w:szCs w:val="24"/>
        </w:rPr>
        <w:t>表</w:t>
      </w:r>
      <w:r>
        <w:rPr>
          <w:rFonts w:ascii="Kinnari" w:hAnsi="Kinnari" w:cs="Kinnari" w:hint="eastAsia"/>
          <w:color w:val="00000A"/>
          <w:sz w:val="24"/>
          <w:szCs w:val="24"/>
        </w:rPr>
        <w:t>1</w:t>
      </w:r>
      <w:r w:rsidR="001217C9">
        <w:rPr>
          <w:rFonts w:ascii="Kinnari" w:eastAsia="Kinnari" w:hAnsi="Kinnari" w:cs="Kinnari"/>
          <w:color w:val="00000A"/>
          <w:sz w:val="24"/>
          <w:szCs w:val="24"/>
        </w:rPr>
        <w:t>，</w:t>
      </w:r>
      <w:r>
        <w:rPr>
          <w:rFonts w:ascii="Kinnari" w:eastAsia="Kinnari" w:hAnsi="Kinnari" w:cs="Kinnari"/>
          <w:color w:val="00000A"/>
          <w:sz w:val="24"/>
          <w:szCs w:val="24"/>
        </w:rPr>
        <w:t>並依據其指標的內容分別</w:t>
      </w:r>
      <w:r w:rsidR="001217C9">
        <w:rPr>
          <w:rFonts w:ascii="Kinnari" w:eastAsia="Kinnari" w:hAnsi="Kinnari" w:cs="Kinnari"/>
          <w:color w:val="00000A"/>
          <w:sz w:val="24"/>
          <w:szCs w:val="24"/>
        </w:rPr>
        <w:t>建立評分表</w:t>
      </w:r>
      <w:r>
        <w:rPr>
          <w:rFonts w:ascii="Kinnari" w:eastAsia="Kinnari" w:hAnsi="Kinnari" w:cs="Kinnari"/>
          <w:color w:val="00000A"/>
          <w:sz w:val="24"/>
          <w:szCs w:val="24"/>
        </w:rPr>
        <w:t>如</w:t>
      </w:r>
      <w:r w:rsidR="001217C9">
        <w:rPr>
          <w:rFonts w:ascii="Kinnari" w:eastAsia="Kinnari" w:hAnsi="Kinnari" w:cs="Kinnari"/>
          <w:color w:val="00000A"/>
          <w:sz w:val="24"/>
          <w:szCs w:val="24"/>
        </w:rPr>
        <w:t>表</w:t>
      </w:r>
      <w:r>
        <w:rPr>
          <w:rFonts w:ascii="Kinnari" w:hAnsi="Kinnari" w:cs="Kinnari" w:hint="eastAsia"/>
          <w:color w:val="00000A"/>
          <w:sz w:val="24"/>
          <w:szCs w:val="24"/>
        </w:rPr>
        <w:t>2</w:t>
      </w:r>
      <w:r w:rsidR="001217C9">
        <w:rPr>
          <w:rFonts w:ascii="Kinnari" w:eastAsia="Kinnari" w:hAnsi="Kinnari" w:cs="Kinnari"/>
          <w:color w:val="00000A"/>
          <w:sz w:val="24"/>
          <w:szCs w:val="24"/>
        </w:rPr>
        <w:t>，並</w:t>
      </w:r>
      <w:r>
        <w:rPr>
          <w:rFonts w:ascii="Kinnari" w:eastAsia="Kinnari" w:hAnsi="Kinnari" w:cs="Kinnari"/>
          <w:color w:val="00000A"/>
          <w:sz w:val="24"/>
          <w:szCs w:val="24"/>
        </w:rPr>
        <w:t>應</w:t>
      </w:r>
      <w:r w:rsidR="001217C9">
        <w:rPr>
          <w:rFonts w:ascii="Kinnari" w:eastAsia="Kinnari" w:hAnsi="Kinnari" w:cs="Kinnari"/>
          <w:color w:val="00000A"/>
          <w:sz w:val="24"/>
          <w:szCs w:val="24"/>
        </w:rPr>
        <w:t>附上說明。評分</w:t>
      </w:r>
      <w:r>
        <w:rPr>
          <w:rFonts w:ascii="Kinnari" w:eastAsia="Kinnari" w:hAnsi="Kinnari" w:cs="Kinnari"/>
          <w:color w:val="00000A"/>
          <w:sz w:val="24"/>
          <w:szCs w:val="24"/>
        </w:rPr>
        <w:t>方式</w:t>
      </w:r>
      <w:r w:rsidR="006A2935">
        <w:rPr>
          <w:rFonts w:ascii="Kinnari" w:eastAsia="Kinnari" w:hAnsi="Kinnari" w:cs="Kinnari"/>
          <w:color w:val="00000A"/>
          <w:sz w:val="24"/>
          <w:szCs w:val="24"/>
        </w:rPr>
        <w:t>則先</w:t>
      </w:r>
      <w:r w:rsidR="001217C9">
        <w:rPr>
          <w:rFonts w:ascii="Kinnari" w:eastAsia="Kinnari" w:hAnsi="Kinnari" w:cs="Kinnari"/>
          <w:color w:val="00000A"/>
          <w:sz w:val="24"/>
          <w:szCs w:val="24"/>
        </w:rPr>
        <w:t>將各</w:t>
      </w:r>
      <w:r w:rsidR="006A2935">
        <w:rPr>
          <w:rFonts w:ascii="Kinnari" w:eastAsia="Kinnari" w:hAnsi="Kinnari" w:cs="Kinnari"/>
          <w:color w:val="00000A"/>
          <w:sz w:val="24"/>
          <w:szCs w:val="24"/>
        </w:rPr>
        <w:t>指標</w:t>
      </w:r>
      <w:r w:rsidR="001217C9">
        <w:rPr>
          <w:rFonts w:ascii="Kinnari" w:eastAsia="Kinnari" w:hAnsi="Kinnari" w:cs="Kinnari"/>
          <w:color w:val="00000A"/>
          <w:sz w:val="24"/>
          <w:szCs w:val="24"/>
        </w:rPr>
        <w:t>項目得分標準化</w:t>
      </w:r>
      <w:r w:rsidR="001217C9" w:rsidRPr="00FF0532">
        <w:rPr>
          <w:rFonts w:ascii="Kinnari" w:eastAsia="Kinnari" w:hAnsi="Kinnari" w:cs="Kinnari"/>
          <w:color w:val="00000A"/>
          <w:sz w:val="24"/>
          <w:szCs w:val="24"/>
          <w:highlight w:val="yellow"/>
          <w:rPrChange w:id="39" w:author="Even" w:date="2017-05-02T15:27:00Z">
            <w:rPr>
              <w:rFonts w:ascii="Kinnari" w:eastAsia="Kinnari" w:hAnsi="Kinnari" w:cs="Kinnari"/>
              <w:color w:val="00000A"/>
              <w:sz w:val="24"/>
              <w:szCs w:val="24"/>
            </w:rPr>
          </w:rPrChange>
        </w:rPr>
        <w:t>(</w:t>
      </w:r>
      <w:r w:rsidR="006A2935" w:rsidRPr="00FF0532">
        <w:rPr>
          <w:rFonts w:ascii="Kinnari" w:hAnsi="Kinnari" w:cs="Kinnari" w:hint="eastAsia"/>
          <w:color w:val="00000A"/>
          <w:sz w:val="24"/>
          <w:szCs w:val="24"/>
          <w:highlight w:val="yellow"/>
          <w:rPrChange w:id="40" w:author="Even" w:date="2017-05-02T15:27:00Z">
            <w:rPr>
              <w:rFonts w:ascii="Kinnari" w:hAnsi="Kinnari" w:cs="Kinnari" w:hint="eastAsia"/>
              <w:color w:val="00000A"/>
              <w:sz w:val="24"/>
              <w:szCs w:val="24"/>
            </w:rPr>
          </w:rPrChange>
        </w:rPr>
        <w:t>相對於</w:t>
      </w:r>
      <w:r w:rsidR="001217C9" w:rsidRPr="00FF0532">
        <w:rPr>
          <w:rFonts w:ascii="Kinnari" w:eastAsia="Kinnari" w:hAnsi="Kinnari" w:cs="Kinnari"/>
          <w:color w:val="00000A"/>
          <w:sz w:val="24"/>
          <w:szCs w:val="24"/>
          <w:highlight w:val="yellow"/>
          <w:rPrChange w:id="41" w:author="Even" w:date="2017-05-02T15:27:00Z">
            <w:rPr>
              <w:rFonts w:ascii="Kinnari" w:eastAsia="Kinnari" w:hAnsi="Kinnari" w:cs="Kinnari"/>
              <w:color w:val="00000A"/>
              <w:sz w:val="24"/>
              <w:szCs w:val="24"/>
            </w:rPr>
          </w:rPrChange>
        </w:rPr>
        <w:t>該項目可</w:t>
      </w:r>
      <w:r w:rsidR="006A2935" w:rsidRPr="00FF0532">
        <w:rPr>
          <w:rFonts w:ascii="Kinnari" w:eastAsia="Kinnari" w:hAnsi="Kinnari" w:cs="Kinnari"/>
          <w:color w:val="00000A"/>
          <w:sz w:val="24"/>
          <w:szCs w:val="24"/>
          <w:highlight w:val="yellow"/>
          <w:rPrChange w:id="42" w:author="Even" w:date="2017-05-02T15:27:00Z">
            <w:rPr>
              <w:rFonts w:ascii="Kinnari" w:eastAsia="Kinnari" w:hAnsi="Kinnari" w:cs="Kinnari"/>
              <w:color w:val="00000A"/>
              <w:sz w:val="24"/>
              <w:szCs w:val="24"/>
            </w:rPr>
          </w:rPrChange>
        </w:rPr>
        <w:t>得</w:t>
      </w:r>
      <w:r w:rsidR="001217C9" w:rsidRPr="00FF0532">
        <w:rPr>
          <w:rFonts w:ascii="Kinnari" w:eastAsia="Kinnari" w:hAnsi="Kinnari" w:cs="Kinnari"/>
          <w:color w:val="00000A"/>
          <w:sz w:val="24"/>
          <w:szCs w:val="24"/>
          <w:highlight w:val="yellow"/>
          <w:rPrChange w:id="43" w:author="Even" w:date="2017-05-02T15:27:00Z">
            <w:rPr>
              <w:rFonts w:ascii="Kinnari" w:eastAsia="Kinnari" w:hAnsi="Kinnari" w:cs="Kinnari"/>
              <w:color w:val="00000A"/>
              <w:sz w:val="24"/>
              <w:szCs w:val="24"/>
            </w:rPr>
          </w:rPrChange>
        </w:rPr>
        <w:t>最</w:t>
      </w:r>
      <w:r w:rsidR="006A2935" w:rsidRPr="00FF0532">
        <w:rPr>
          <w:rFonts w:ascii="Kinnari" w:hAnsi="Kinnari" w:cs="Kinnari" w:hint="eastAsia"/>
          <w:color w:val="00000A"/>
          <w:sz w:val="24"/>
          <w:szCs w:val="24"/>
          <w:highlight w:val="yellow"/>
          <w:rPrChange w:id="44" w:author="Even" w:date="2017-05-02T15:27:00Z">
            <w:rPr>
              <w:rFonts w:ascii="Kinnari" w:hAnsi="Kinnari" w:cs="Kinnari" w:hint="eastAsia"/>
              <w:color w:val="00000A"/>
              <w:sz w:val="24"/>
              <w:szCs w:val="24"/>
            </w:rPr>
          </w:rPrChange>
        </w:rPr>
        <w:t>高</w:t>
      </w:r>
      <w:r w:rsidR="001217C9" w:rsidRPr="00FF0532">
        <w:rPr>
          <w:rFonts w:ascii="Kinnari" w:eastAsia="Kinnari" w:hAnsi="Kinnari" w:cs="Kinnari"/>
          <w:color w:val="00000A"/>
          <w:sz w:val="24"/>
          <w:szCs w:val="24"/>
          <w:highlight w:val="yellow"/>
          <w:rPrChange w:id="45" w:author="Even" w:date="2017-05-02T15:27:00Z">
            <w:rPr>
              <w:rFonts w:ascii="Kinnari" w:eastAsia="Kinnari" w:hAnsi="Kinnari" w:cs="Kinnari"/>
              <w:color w:val="00000A"/>
              <w:sz w:val="24"/>
              <w:szCs w:val="24"/>
            </w:rPr>
          </w:rPrChange>
        </w:rPr>
        <w:t>分</w:t>
      </w:r>
      <w:r w:rsidR="006A2935" w:rsidRPr="00FF0532">
        <w:rPr>
          <w:rFonts w:ascii="Kinnari" w:eastAsia="Kinnari" w:hAnsi="Kinnari" w:cs="Kinnari"/>
          <w:color w:val="00000A"/>
          <w:sz w:val="24"/>
          <w:szCs w:val="24"/>
          <w:highlight w:val="yellow"/>
          <w:rPrChange w:id="46" w:author="Even" w:date="2017-05-02T15:27:00Z">
            <w:rPr>
              <w:rFonts w:ascii="Kinnari" w:eastAsia="Kinnari" w:hAnsi="Kinnari" w:cs="Kinnari"/>
              <w:color w:val="00000A"/>
              <w:sz w:val="24"/>
              <w:szCs w:val="24"/>
            </w:rPr>
          </w:rPrChange>
        </w:rPr>
        <w:t>數</w:t>
      </w:r>
      <w:r w:rsidR="001217C9" w:rsidRPr="00FF0532">
        <w:rPr>
          <w:rFonts w:ascii="Kinnari" w:eastAsia="Kinnari" w:hAnsi="Kinnari" w:cs="Kinnari"/>
          <w:color w:val="00000A"/>
          <w:sz w:val="24"/>
          <w:szCs w:val="24"/>
          <w:highlight w:val="yellow"/>
          <w:rPrChange w:id="47" w:author="Even" w:date="2017-05-02T15:27:00Z">
            <w:rPr>
              <w:rFonts w:ascii="Kinnari" w:eastAsia="Kinnari" w:hAnsi="Kinnari" w:cs="Kinnari"/>
              <w:color w:val="00000A"/>
              <w:sz w:val="24"/>
              <w:szCs w:val="24"/>
            </w:rPr>
          </w:rPrChange>
        </w:rPr>
        <w:t>)</w:t>
      </w:r>
      <w:r w:rsidR="006A2935">
        <w:rPr>
          <w:rFonts w:ascii="Kinnari" w:eastAsia="Kinnari" w:hAnsi="Kinnari" w:cs="Kinnari"/>
          <w:color w:val="00000A"/>
          <w:sz w:val="24"/>
          <w:szCs w:val="24"/>
        </w:rPr>
        <w:t>後</w:t>
      </w:r>
      <w:r w:rsidR="001217C9">
        <w:rPr>
          <w:rFonts w:ascii="Kinnari" w:eastAsia="Kinnari" w:hAnsi="Kinnari" w:cs="Kinnari"/>
          <w:color w:val="00000A"/>
          <w:sz w:val="24"/>
          <w:szCs w:val="24"/>
        </w:rPr>
        <w:t>，</w:t>
      </w:r>
      <w:r w:rsidR="006A2935">
        <w:rPr>
          <w:rFonts w:ascii="Kinnari" w:hAnsi="Kinnari" w:cs="Kinnari" w:hint="eastAsia"/>
          <w:color w:val="00000A"/>
          <w:sz w:val="24"/>
          <w:szCs w:val="24"/>
        </w:rPr>
        <w:t>以</w:t>
      </w:r>
      <w:r w:rsidR="001217C9">
        <w:rPr>
          <w:rFonts w:ascii="Kinnari" w:eastAsia="Kinnari" w:hAnsi="Kinnari" w:cs="Kinnari"/>
          <w:color w:val="00000A"/>
          <w:sz w:val="24"/>
          <w:szCs w:val="24"/>
        </w:rPr>
        <w:t>公式</w:t>
      </w:r>
      <w:r w:rsidR="006A2935">
        <w:rPr>
          <w:rFonts w:ascii="Kinnari" w:hAnsi="Kinnari" w:cs="Kinnari" w:hint="eastAsia"/>
          <w:color w:val="00000A"/>
          <w:sz w:val="24"/>
          <w:szCs w:val="24"/>
        </w:rPr>
        <w:t>(2)</w:t>
      </w:r>
      <w:r w:rsidR="006A2935">
        <w:rPr>
          <w:rFonts w:ascii="Kinnari" w:hAnsi="Kinnari" w:cs="Kinnari" w:hint="eastAsia"/>
          <w:color w:val="00000A"/>
          <w:sz w:val="24"/>
          <w:szCs w:val="24"/>
        </w:rPr>
        <w:t>進行計算</w:t>
      </w:r>
      <w:r w:rsidR="001217C9">
        <w:rPr>
          <w:rFonts w:ascii="Kinnari" w:eastAsia="Kinnari" w:hAnsi="Kinnari" w:cs="Kinnari"/>
          <w:color w:val="00000A"/>
          <w:sz w:val="24"/>
          <w:szCs w:val="24"/>
        </w:rPr>
        <w:t>，即得</w:t>
      </w:r>
      <w:r w:rsidR="006A2935">
        <w:rPr>
          <w:rFonts w:ascii="Kinnari" w:eastAsia="Kinnari" w:hAnsi="Kinnari" w:cs="Kinnari"/>
          <w:color w:val="00000A"/>
          <w:sz w:val="24"/>
          <w:szCs w:val="24"/>
        </w:rPr>
        <w:t>到該物種的可量化</w:t>
      </w:r>
      <w:r w:rsidR="001217C9">
        <w:rPr>
          <w:rFonts w:ascii="Kinnari" w:eastAsia="Kinnari" w:hAnsi="Kinnari" w:cs="Kinnari"/>
          <w:color w:val="00000A"/>
          <w:sz w:val="24"/>
          <w:szCs w:val="24"/>
        </w:rPr>
        <w:t>保育價值。</w:t>
      </w:r>
    </w:p>
    <w:p w14:paraId="6D1F6E2D" w14:textId="77777777" w:rsidR="002A1C85" w:rsidRDefault="002A1C85">
      <w:pPr>
        <w:pStyle w:val="10"/>
        <w:widowControl w:val="0"/>
        <w:spacing w:line="360" w:lineRule="auto"/>
        <w:jc w:val="both"/>
        <w:rPr>
          <w:rFonts w:ascii="Kinnari" w:eastAsia="Kinnari" w:hAnsi="Kinnari" w:cs="Kinnari"/>
          <w:color w:val="00000A"/>
          <w:sz w:val="24"/>
          <w:szCs w:val="24"/>
        </w:rPr>
      </w:pPr>
    </w:p>
    <w:p w14:paraId="69D29FDE" w14:textId="77777777" w:rsidR="002A1C85" w:rsidRDefault="001217C9">
      <w:pPr>
        <w:pStyle w:val="10"/>
        <w:widowControl w:val="0"/>
        <w:spacing w:line="360" w:lineRule="auto"/>
        <w:jc w:val="both"/>
        <w:rPr>
          <w:rFonts w:ascii="Calibri" w:eastAsia="Calibri" w:hAnsi="Calibri" w:cs="Calibri"/>
          <w:color w:val="00000A"/>
          <w:sz w:val="24"/>
          <w:szCs w:val="24"/>
        </w:rPr>
      </w:pPr>
      <w:r>
        <w:rPr>
          <w:rFonts w:ascii="Kinnari" w:eastAsia="Kinnari" w:hAnsi="Kinnari" w:cs="Kinnari"/>
          <w:color w:val="00000A"/>
          <w:sz w:val="24"/>
          <w:szCs w:val="24"/>
        </w:rPr>
        <w:t>假設有n項保育目標v</w:t>
      </w:r>
      <w:r>
        <w:rPr>
          <w:rFonts w:ascii="Kinnari" w:eastAsia="Kinnari" w:hAnsi="Kinnari" w:cs="Kinnari"/>
          <w:color w:val="00000A"/>
          <w:sz w:val="24"/>
          <w:szCs w:val="24"/>
          <w:vertAlign w:val="subscript"/>
        </w:rPr>
        <w:t>n</w:t>
      </w:r>
      <w:r>
        <w:rPr>
          <w:rFonts w:ascii="Kinnari" w:eastAsia="Kinnari" w:hAnsi="Kinnari" w:cs="Kinnari"/>
          <w:color w:val="00000A"/>
          <w:sz w:val="24"/>
          <w:szCs w:val="24"/>
        </w:rPr>
        <w:t>,及相對應的加權w</w:t>
      </w:r>
      <w:r>
        <w:rPr>
          <w:rFonts w:ascii="Kinnari" w:eastAsia="Kinnari" w:hAnsi="Kinnari" w:cs="Kinnari"/>
          <w:color w:val="00000A"/>
          <w:sz w:val="24"/>
          <w:szCs w:val="24"/>
          <w:vertAlign w:val="subscript"/>
        </w:rPr>
        <w:t>n</w:t>
      </w:r>
      <w:r>
        <w:rPr>
          <w:rFonts w:ascii="Kinnari" w:eastAsia="Kinnari" w:hAnsi="Kinnari" w:cs="Kinnari"/>
          <w:color w:val="00000A"/>
          <w:sz w:val="24"/>
          <w:szCs w:val="24"/>
        </w:rPr>
        <w:t>，則物種i的保育價值V</w:t>
      </w:r>
      <w:r>
        <w:rPr>
          <w:rFonts w:ascii="Kinnari" w:eastAsia="Kinnari" w:hAnsi="Kinnari" w:cs="Kinnari"/>
          <w:color w:val="00000A"/>
          <w:sz w:val="24"/>
          <w:szCs w:val="24"/>
          <w:vertAlign w:val="subscript"/>
        </w:rPr>
        <w:t>i</w:t>
      </w:r>
      <w:r>
        <w:rPr>
          <w:rFonts w:ascii="Kinnari" w:eastAsia="Kinnari" w:hAnsi="Kinnari" w:cs="Kinnari"/>
          <w:color w:val="00000A"/>
          <w:sz w:val="24"/>
          <w:szCs w:val="24"/>
        </w:rPr>
        <w:t xml:space="preserve">為: </w:t>
      </w:r>
    </w:p>
    <w:p w14:paraId="504BFAAA" w14:textId="77777777" w:rsidR="002A1C85" w:rsidRPr="00FF0532" w:rsidRDefault="001217C9">
      <w:pPr>
        <w:pStyle w:val="10"/>
        <w:widowControl w:val="0"/>
        <w:spacing w:line="360" w:lineRule="auto"/>
        <w:jc w:val="both"/>
        <w:rPr>
          <w:rFonts w:ascii="Kinnari" w:hAnsi="Kinnari" w:cs="Kinnari"/>
          <w:color w:val="00000A"/>
          <w:sz w:val="24"/>
          <w:szCs w:val="24"/>
        </w:rPr>
      </w:pPr>
      <w:r>
        <w:rPr>
          <w:noProof/>
        </w:rPr>
        <w:drawing>
          <wp:inline distT="0" distB="0" distL="114300" distR="114300" wp14:anchorId="0791103B" wp14:editId="63286240">
            <wp:extent cx="923925" cy="457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cstate="print"/>
                    <a:srcRect/>
                    <a:stretch>
                      <a:fillRect/>
                    </a:stretch>
                  </pic:blipFill>
                  <pic:spPr>
                    <a:xfrm>
                      <a:off x="0" y="0"/>
                      <a:ext cx="923925" cy="457200"/>
                    </a:xfrm>
                    <a:prstGeom prst="rect">
                      <a:avLst/>
                    </a:prstGeom>
                    <a:ln/>
                  </pic:spPr>
                </pic:pic>
              </a:graphicData>
            </a:graphic>
          </wp:inline>
        </w:drawing>
      </w:r>
      <w:r w:rsidR="006A2935">
        <w:rPr>
          <w:rFonts w:ascii="Kinnari" w:hAnsi="Kinnari" w:cs="Kinnari" w:hint="eastAsia"/>
          <w:color w:val="00000A"/>
          <w:sz w:val="24"/>
          <w:szCs w:val="24"/>
        </w:rPr>
        <w:t xml:space="preserve"> </w:t>
      </w:r>
      <w:r w:rsidR="006A2935">
        <w:rPr>
          <w:rFonts w:ascii="Kinnari" w:hAnsi="Kinnari" w:cs="Kinnari" w:hint="eastAsia"/>
          <w:color w:val="00000A"/>
          <w:sz w:val="24"/>
          <w:szCs w:val="24"/>
        </w:rPr>
        <w:t>……公式</w:t>
      </w:r>
      <w:r w:rsidR="006A2935">
        <w:rPr>
          <w:rFonts w:ascii="Kinnari" w:hAnsi="Kinnari" w:cs="Kinnari" w:hint="eastAsia"/>
          <w:color w:val="00000A"/>
          <w:sz w:val="24"/>
          <w:szCs w:val="24"/>
        </w:rPr>
        <w:t>(2)</w:t>
      </w:r>
    </w:p>
    <w:p w14:paraId="0DDC1EA2"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508FDC48" w14:textId="77777777" w:rsidR="002A1C85" w:rsidRDefault="001217C9">
      <w:pPr>
        <w:pStyle w:val="1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表一、常見物種保育價值參考指標(以台灣魚類為例) </w:t>
      </w:r>
    </w:p>
    <w:tbl>
      <w:tblPr>
        <w:tblStyle w:val="a5"/>
        <w:tblW w:w="8788" w:type="dxa"/>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8"/>
        <w:gridCol w:w="2176"/>
        <w:gridCol w:w="3125"/>
        <w:gridCol w:w="1609"/>
      </w:tblGrid>
      <w:tr w:rsidR="002A1C85" w14:paraId="22D235E6" w14:textId="77777777">
        <w:tc>
          <w:tcPr>
            <w:tcW w:w="1878" w:type="dxa"/>
            <w:tcBorders>
              <w:top w:val="single" w:sz="4" w:space="0" w:color="00000A"/>
              <w:left w:val="nil"/>
              <w:bottom w:val="single" w:sz="4" w:space="0" w:color="00000A"/>
              <w:right w:val="nil"/>
            </w:tcBorders>
          </w:tcPr>
          <w:p w14:paraId="3A028F2C"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指標</w:t>
            </w:r>
          </w:p>
        </w:tc>
        <w:tc>
          <w:tcPr>
            <w:tcW w:w="2176" w:type="dxa"/>
            <w:tcBorders>
              <w:top w:val="single" w:sz="4" w:space="0" w:color="00000A"/>
              <w:left w:val="nil"/>
              <w:bottom w:val="single" w:sz="4" w:space="0" w:color="00000A"/>
              <w:right w:val="nil"/>
            </w:tcBorders>
          </w:tcPr>
          <w:p w14:paraId="0F3B5CBC"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評估方法</w:t>
            </w:r>
          </w:p>
        </w:tc>
        <w:tc>
          <w:tcPr>
            <w:tcW w:w="3125" w:type="dxa"/>
            <w:tcBorders>
              <w:top w:val="single" w:sz="4" w:space="0" w:color="00000A"/>
              <w:left w:val="nil"/>
              <w:bottom w:val="single" w:sz="4" w:space="0" w:color="00000A"/>
              <w:right w:val="nil"/>
            </w:tcBorders>
          </w:tcPr>
          <w:p w14:paraId="7361524A"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說明</w:t>
            </w:r>
          </w:p>
        </w:tc>
        <w:tc>
          <w:tcPr>
            <w:tcW w:w="1609" w:type="dxa"/>
            <w:tcBorders>
              <w:top w:val="single" w:sz="4" w:space="0" w:color="00000A"/>
              <w:left w:val="nil"/>
              <w:bottom w:val="single" w:sz="4" w:space="0" w:color="00000A"/>
              <w:right w:val="nil"/>
            </w:tcBorders>
          </w:tcPr>
          <w:p w14:paraId="779ED159"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參考資料</w:t>
            </w:r>
          </w:p>
        </w:tc>
      </w:tr>
      <w:tr w:rsidR="002A1C85" w14:paraId="14A50115" w14:textId="77777777">
        <w:trPr>
          <w:trHeight w:val="880"/>
        </w:trPr>
        <w:tc>
          <w:tcPr>
            <w:tcW w:w="1878" w:type="dxa"/>
            <w:tcBorders>
              <w:top w:val="single" w:sz="4" w:space="0" w:color="00000A"/>
              <w:left w:val="nil"/>
              <w:right w:val="nil"/>
            </w:tcBorders>
          </w:tcPr>
          <w:p w14:paraId="756A880D"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經濟價值 </w:t>
            </w:r>
          </w:p>
        </w:tc>
        <w:tc>
          <w:tcPr>
            <w:tcW w:w="2176" w:type="dxa"/>
            <w:tcBorders>
              <w:top w:val="single" w:sz="4" w:space="0" w:color="00000A"/>
              <w:left w:val="nil"/>
              <w:right w:val="nil"/>
            </w:tcBorders>
          </w:tcPr>
          <w:p w14:paraId="12F25037"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a. 可使用</w:t>
            </w:r>
            <w:r w:rsidR="006A2935">
              <w:rPr>
                <w:rFonts w:ascii="Kinnari" w:eastAsia="Kinnari" w:hAnsi="Kinnari" w:cs="Kinnari"/>
                <w:color w:val="00000A"/>
                <w:sz w:val="16"/>
                <w:szCs w:val="16"/>
              </w:rPr>
              <w:t>合適</w:t>
            </w:r>
            <w:r>
              <w:rPr>
                <w:rFonts w:ascii="Kinnari" w:eastAsia="Kinnari" w:hAnsi="Kinnari" w:cs="Kinnari"/>
                <w:color w:val="00000A"/>
                <w:sz w:val="16"/>
                <w:szCs w:val="16"/>
              </w:rPr>
              <w:t>資料庫內對物種的敘述給予分數，如具有藥用加2分、有</w:t>
            </w:r>
            <w:r w:rsidR="006A2935">
              <w:rPr>
                <w:rFonts w:ascii="Kinnari" w:hAnsi="Kinnari" w:cs="Kinnari" w:hint="eastAsia"/>
                <w:color w:val="00000A"/>
                <w:sz w:val="16"/>
                <w:szCs w:val="16"/>
              </w:rPr>
              <w:t>觀賞</w:t>
            </w:r>
            <w:r>
              <w:rPr>
                <w:rFonts w:ascii="Kinnari" w:eastAsia="Kinnari" w:hAnsi="Kinnari" w:cs="Kinnari"/>
                <w:color w:val="00000A"/>
                <w:sz w:val="16"/>
                <w:szCs w:val="16"/>
              </w:rPr>
              <w:t>價值加1分等</w:t>
            </w:r>
          </w:p>
          <w:p w14:paraId="74FBFA43" w14:textId="77777777" w:rsidR="002A1C85" w:rsidRDefault="002A1C85">
            <w:pPr>
              <w:pStyle w:val="10"/>
              <w:spacing w:line="360" w:lineRule="auto"/>
              <w:rPr>
                <w:rFonts w:ascii="Kinnari" w:eastAsia="Kinnari" w:hAnsi="Kinnari" w:cs="Kinnari"/>
                <w:color w:val="00000A"/>
                <w:sz w:val="16"/>
                <w:szCs w:val="16"/>
              </w:rPr>
            </w:pPr>
          </w:p>
          <w:p w14:paraId="01BCC398"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b. 條件評估法(contingent valuation)估算WTP</w:t>
            </w:r>
            <w:r>
              <w:rPr>
                <w:rFonts w:ascii="新細明體" w:eastAsia="新細明體" w:hAnsi="新細明體" w:cs="新細明體"/>
                <w:color w:val="00000A"/>
                <w:sz w:val="16"/>
                <w:szCs w:val="16"/>
              </w:rPr>
              <w:t xml:space="preserve"> </w:t>
            </w:r>
            <w:r>
              <w:rPr>
                <w:rFonts w:ascii="Kinnari" w:eastAsia="Kinnari" w:hAnsi="Kinnari" w:cs="Kinnari"/>
                <w:color w:val="00000A"/>
                <w:sz w:val="16"/>
                <w:szCs w:val="16"/>
              </w:rPr>
              <w:t>(willingness to pay)</w:t>
            </w:r>
            <w:r>
              <w:rPr>
                <w:rFonts w:ascii="新細明體" w:eastAsia="新細明體" w:hAnsi="新細明體" w:cs="新細明體"/>
                <w:color w:val="00000A"/>
                <w:sz w:val="16"/>
                <w:szCs w:val="16"/>
              </w:rPr>
              <w:t xml:space="preserve"> </w:t>
            </w:r>
          </w:p>
        </w:tc>
        <w:tc>
          <w:tcPr>
            <w:tcW w:w="3125" w:type="dxa"/>
            <w:tcBorders>
              <w:top w:val="single" w:sz="4" w:space="0" w:color="00000A"/>
              <w:left w:val="nil"/>
              <w:right w:val="nil"/>
            </w:tcBorders>
          </w:tcPr>
          <w:p w14:paraId="41A85D62"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a. 僅管可以從資料庫(</w:t>
            </w:r>
            <w:r w:rsidR="006A2935">
              <w:rPr>
                <w:rFonts w:ascii="Kinnari" w:hAnsi="Kinnari" w:cs="Kinnari" w:hint="eastAsia"/>
                <w:color w:val="00000A"/>
                <w:sz w:val="16"/>
                <w:szCs w:val="16"/>
              </w:rPr>
              <w:t>如</w:t>
            </w:r>
            <w:r>
              <w:rPr>
                <w:rFonts w:ascii="Kinnari" w:eastAsia="Kinnari" w:hAnsi="Kinnari" w:cs="Kinnari"/>
                <w:color w:val="00000A"/>
                <w:sz w:val="16"/>
                <w:szCs w:val="16"/>
              </w:rPr>
              <w:t>:台灣魚類資料庫)取得相關資訊，但經常缺乏稀有種的描述，因此難以區別稀有種的經濟價值差異</w:t>
            </w:r>
          </w:p>
          <w:p w14:paraId="73135729" w14:textId="77777777" w:rsidR="002A1C85" w:rsidRDefault="002A1C85">
            <w:pPr>
              <w:pStyle w:val="10"/>
              <w:spacing w:line="360" w:lineRule="auto"/>
              <w:rPr>
                <w:rFonts w:ascii="Kinnari" w:eastAsia="Kinnari" w:hAnsi="Kinnari" w:cs="Kinnari"/>
                <w:color w:val="00000A"/>
                <w:sz w:val="16"/>
                <w:szCs w:val="16"/>
              </w:rPr>
            </w:pPr>
          </w:p>
          <w:p w14:paraId="4803B994" w14:textId="77777777" w:rsidR="002A1C85" w:rsidRDefault="001217C9" w:rsidP="006A2935">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b.經濟學上</w:t>
            </w:r>
            <w:r w:rsidR="006A2935">
              <w:rPr>
                <w:rFonts w:ascii="Kinnari" w:eastAsia="Kinnari" w:hAnsi="Kinnari" w:cs="Kinnari"/>
                <w:color w:val="00000A"/>
                <w:sz w:val="16"/>
                <w:szCs w:val="16"/>
              </w:rPr>
              <w:t>常用</w:t>
            </w:r>
            <w:r>
              <w:rPr>
                <w:rFonts w:ascii="Kinnari" w:eastAsia="Kinnari" w:hAnsi="Kinnari" w:cs="Kinnari"/>
                <w:color w:val="00000A"/>
                <w:sz w:val="16"/>
                <w:szCs w:val="16"/>
              </w:rPr>
              <w:t>以問卷方式為</w:t>
            </w:r>
            <w:r w:rsidR="006A2935">
              <w:rPr>
                <w:rFonts w:ascii="Kinnari" w:eastAsia="Kinnari" w:hAnsi="Kinnari" w:cs="Kinnari"/>
                <w:color w:val="00000A"/>
                <w:sz w:val="16"/>
                <w:szCs w:val="16"/>
              </w:rPr>
              <w:t>非市場資源</w:t>
            </w:r>
            <w:r w:rsidR="006A2935">
              <w:rPr>
                <w:rFonts w:ascii="Kinnari" w:hAnsi="Kinnari" w:cs="Kinnari" w:hint="eastAsia"/>
                <w:color w:val="00000A"/>
                <w:sz w:val="16"/>
                <w:szCs w:val="16"/>
              </w:rPr>
              <w:t>(?)(</w:t>
            </w:r>
            <w:r>
              <w:rPr>
                <w:rFonts w:ascii="Kinnari" w:eastAsia="Kinnari" w:hAnsi="Kinnari" w:cs="Kinnari"/>
                <w:color w:val="00000A"/>
                <w:sz w:val="16"/>
                <w:szCs w:val="16"/>
              </w:rPr>
              <w:t>non-market resource</w:t>
            </w:r>
            <w:r w:rsidR="006A2935">
              <w:rPr>
                <w:rFonts w:ascii="Kinnari" w:hAnsi="Kinnari" w:cs="Kinnari" w:hint="eastAsia"/>
                <w:color w:val="00000A"/>
                <w:sz w:val="16"/>
                <w:szCs w:val="16"/>
              </w:rPr>
              <w:t>)</w:t>
            </w:r>
            <w:r>
              <w:rPr>
                <w:rFonts w:ascii="Kinnari" w:eastAsia="Kinnari" w:hAnsi="Kinnari" w:cs="Kinnari"/>
                <w:color w:val="00000A"/>
                <w:sz w:val="16"/>
                <w:szCs w:val="16"/>
              </w:rPr>
              <w:t>估價的方法。然而，應用在物種保育上時，WTP會受到該物種</w:t>
            </w:r>
            <w:r w:rsidR="006A2935">
              <w:rPr>
                <w:rFonts w:ascii="Kinnari" w:hAnsi="Kinnari" w:cs="Kinnari" w:hint="eastAsia"/>
                <w:color w:val="00000A"/>
                <w:sz w:val="16"/>
                <w:szCs w:val="16"/>
              </w:rPr>
              <w:t>在</w:t>
            </w:r>
            <w:r w:rsidR="006A2935">
              <w:rPr>
                <w:rFonts w:ascii="Kinnari" w:eastAsia="Kinnari" w:hAnsi="Kinnari" w:cs="Kinnari"/>
                <w:color w:val="00000A"/>
                <w:sz w:val="16"/>
                <w:szCs w:val="16"/>
              </w:rPr>
              <w:t>公</w:t>
            </w:r>
            <w:r>
              <w:rPr>
                <w:rFonts w:ascii="Kinnari" w:eastAsia="Kinnari" w:hAnsi="Kinnari" w:cs="Kinnari"/>
                <w:color w:val="00000A"/>
                <w:sz w:val="16"/>
                <w:szCs w:val="16"/>
              </w:rPr>
              <w:t>眾</w:t>
            </w:r>
            <w:r w:rsidR="006A2935">
              <w:rPr>
                <w:rFonts w:ascii="Kinnari" w:eastAsia="Kinnari" w:hAnsi="Kinnari" w:cs="Kinnari"/>
                <w:color w:val="00000A"/>
                <w:sz w:val="16"/>
                <w:szCs w:val="16"/>
              </w:rPr>
              <w:t>知名度所</w:t>
            </w:r>
            <w:r>
              <w:rPr>
                <w:rFonts w:ascii="Kinnari" w:eastAsia="Kinnari" w:hAnsi="Kinnari" w:cs="Kinnari"/>
                <w:color w:val="00000A"/>
                <w:sz w:val="16"/>
                <w:szCs w:val="16"/>
              </w:rPr>
              <w:t>影響，</w:t>
            </w:r>
            <w:r w:rsidR="006A2935">
              <w:rPr>
                <w:rFonts w:ascii="Kinnari" w:eastAsia="Kinnari" w:hAnsi="Kinnari" w:cs="Kinnari"/>
                <w:color w:val="00000A"/>
                <w:sz w:val="16"/>
                <w:szCs w:val="16"/>
              </w:rPr>
              <w:t>因此</w:t>
            </w:r>
            <w:r>
              <w:rPr>
                <w:rFonts w:ascii="Kinnari" w:eastAsia="Kinnari" w:hAnsi="Kinnari" w:cs="Kinnari"/>
                <w:color w:val="00000A"/>
                <w:sz w:val="16"/>
                <w:szCs w:val="16"/>
              </w:rPr>
              <w:t>低關注物種的大部分意見為「普通」或「不知道」。(Vincenot 2015)</w:t>
            </w:r>
          </w:p>
        </w:tc>
        <w:tc>
          <w:tcPr>
            <w:tcW w:w="1609" w:type="dxa"/>
            <w:tcBorders>
              <w:top w:val="single" w:sz="4" w:space="0" w:color="00000A"/>
              <w:left w:val="nil"/>
              <w:right w:val="nil"/>
            </w:tcBorders>
          </w:tcPr>
          <w:p w14:paraId="51F33C01"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a. 台灣魚類資料庫</w:t>
            </w:r>
          </w:p>
          <w:p w14:paraId="7B51D903"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b.Carson 2000、</w:t>
            </w:r>
          </w:p>
          <w:p w14:paraId="0DFF4273"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Vincenot 2015</w:t>
            </w:r>
          </w:p>
        </w:tc>
      </w:tr>
      <w:tr w:rsidR="002A1C85" w14:paraId="31A2F82B" w14:textId="77777777">
        <w:tc>
          <w:tcPr>
            <w:tcW w:w="1878" w:type="dxa"/>
            <w:tcBorders>
              <w:left w:val="nil"/>
              <w:right w:val="nil"/>
            </w:tcBorders>
          </w:tcPr>
          <w:p w14:paraId="19274B2A"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生態重要性 </w:t>
            </w:r>
          </w:p>
        </w:tc>
        <w:tc>
          <w:tcPr>
            <w:tcW w:w="2176" w:type="dxa"/>
            <w:tcBorders>
              <w:left w:val="nil"/>
              <w:right w:val="nil"/>
            </w:tcBorders>
          </w:tcPr>
          <w:p w14:paraId="137B3725"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a. 使用食物網模式計算(如link density 、interaction strength等)</w:t>
            </w:r>
          </w:p>
          <w:p w14:paraId="78FF3259" w14:textId="77777777" w:rsidR="002A1C85" w:rsidRDefault="002A1C85">
            <w:pPr>
              <w:pStyle w:val="10"/>
              <w:spacing w:line="360" w:lineRule="auto"/>
              <w:rPr>
                <w:rFonts w:ascii="Kinnari" w:eastAsia="Kinnari" w:hAnsi="Kinnari" w:cs="Kinnari"/>
                <w:color w:val="00000A"/>
                <w:sz w:val="16"/>
                <w:szCs w:val="16"/>
              </w:rPr>
            </w:pPr>
          </w:p>
          <w:p w14:paraId="713B6B1A"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lastRenderedPageBreak/>
              <w:t>b.進行文獻回顧，根據各物種不同的生態區位、食性位階等，給予不同的分數</w:t>
            </w:r>
          </w:p>
        </w:tc>
        <w:tc>
          <w:tcPr>
            <w:tcW w:w="3125" w:type="dxa"/>
            <w:tcBorders>
              <w:left w:val="nil"/>
              <w:right w:val="nil"/>
            </w:tcBorders>
          </w:tcPr>
          <w:p w14:paraId="0F88BE82"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lastRenderedPageBreak/>
              <w:t>a. 雖然現今已能計算物種的生態系重要(也有方法能計算不同生態系的物種生態重要性)，但是爭議依然很多，如Jordan 2008的研究顯示，各估算方法得到的結</w:t>
            </w:r>
            <w:r>
              <w:rPr>
                <w:rFonts w:ascii="Kinnari" w:eastAsia="Kinnari" w:hAnsi="Kinnari" w:cs="Kinnari"/>
                <w:color w:val="00000A"/>
                <w:sz w:val="16"/>
                <w:szCs w:val="16"/>
              </w:rPr>
              <w:lastRenderedPageBreak/>
              <w:t>果差異很大，相關性都很低。</w:t>
            </w:r>
          </w:p>
          <w:p w14:paraId="0C0130A9" w14:textId="77777777" w:rsidR="002A1C85" w:rsidRDefault="002A1C85">
            <w:pPr>
              <w:pStyle w:val="10"/>
              <w:spacing w:line="360" w:lineRule="auto"/>
              <w:rPr>
                <w:rFonts w:ascii="Kinnari" w:eastAsia="Kinnari" w:hAnsi="Kinnari" w:cs="Kinnari"/>
                <w:color w:val="00000A"/>
                <w:sz w:val="16"/>
                <w:szCs w:val="16"/>
              </w:rPr>
            </w:pPr>
          </w:p>
          <w:p w14:paraId="24B4760C" w14:textId="77777777" w:rsidR="002A1C85" w:rsidRPr="00FF0532" w:rsidRDefault="001217C9">
            <w:pPr>
              <w:pStyle w:val="10"/>
              <w:spacing w:line="360" w:lineRule="auto"/>
            </w:pPr>
            <w:r>
              <w:rPr>
                <w:rFonts w:ascii="Kinnari" w:eastAsia="Kinnari" w:hAnsi="Kinnari" w:cs="Kinnari"/>
                <w:color w:val="00000A"/>
                <w:sz w:val="16"/>
                <w:szCs w:val="16"/>
              </w:rPr>
              <w:t>b. 文獻</w:t>
            </w:r>
            <w:r w:rsidR="006A2935">
              <w:rPr>
                <w:rFonts w:ascii="Kinnari" w:eastAsia="Kinnari" w:hAnsi="Kinnari" w:cs="Kinnari"/>
                <w:color w:val="00000A"/>
                <w:sz w:val="16"/>
                <w:szCs w:val="16"/>
              </w:rPr>
              <w:t>通常不足或</w:t>
            </w:r>
            <w:r w:rsidR="00FF0532">
              <w:rPr>
                <w:rFonts w:asciiTheme="minorEastAsia" w:hAnsiTheme="minorEastAsia" w:cs="Kinnari" w:hint="eastAsia"/>
                <w:color w:val="00000A"/>
                <w:sz w:val="16"/>
                <w:szCs w:val="16"/>
              </w:rPr>
              <w:t>缺乏</w:t>
            </w:r>
          </w:p>
        </w:tc>
        <w:tc>
          <w:tcPr>
            <w:tcW w:w="1609" w:type="dxa"/>
            <w:tcBorders>
              <w:left w:val="nil"/>
              <w:right w:val="nil"/>
            </w:tcBorders>
          </w:tcPr>
          <w:p w14:paraId="3A217C1B" w14:textId="77777777" w:rsidR="002A1C85" w:rsidRDefault="001217C9">
            <w:pPr>
              <w:pStyle w:val="10"/>
              <w:spacing w:line="360" w:lineRule="auto"/>
              <w:rPr>
                <w:rFonts w:ascii="新細明體" w:eastAsia="新細明體" w:hAnsi="新細明體" w:cs="新細明體"/>
                <w:color w:val="FF0000"/>
                <w:sz w:val="16"/>
                <w:szCs w:val="16"/>
              </w:rPr>
            </w:pPr>
            <w:r>
              <w:rPr>
                <w:rFonts w:ascii="Kinnari" w:eastAsia="Kinnari" w:hAnsi="Kinnari" w:cs="Kinnari"/>
                <w:color w:val="00000A"/>
                <w:sz w:val="16"/>
                <w:szCs w:val="16"/>
              </w:rPr>
              <w:lastRenderedPageBreak/>
              <w:t xml:space="preserve">Jordan 2008, </w:t>
            </w:r>
            <w:r>
              <w:rPr>
                <w:rFonts w:ascii="Kinnari" w:eastAsia="Kinnari" w:hAnsi="Kinnari" w:cs="Kinnari"/>
                <w:color w:val="FF0000"/>
                <w:sz w:val="16"/>
                <w:szCs w:val="16"/>
              </w:rPr>
              <w:t>DFO 2006</w:t>
            </w:r>
          </w:p>
        </w:tc>
      </w:tr>
      <w:tr w:rsidR="002A1C85" w14:paraId="105ECEE6" w14:textId="77777777">
        <w:tc>
          <w:tcPr>
            <w:tcW w:w="1878" w:type="dxa"/>
            <w:tcBorders>
              <w:left w:val="nil"/>
              <w:right w:val="nil"/>
            </w:tcBorders>
          </w:tcPr>
          <w:p w14:paraId="541753B9" w14:textId="77777777" w:rsidR="002A1C85" w:rsidRDefault="001217C9">
            <w:pPr>
              <w:pStyle w:val="10"/>
              <w:spacing w:line="360" w:lineRule="auto"/>
              <w:rPr>
                <w:rFonts w:ascii="新細明體" w:eastAsia="新細明體" w:hAnsi="新細明體" w:cs="新細明體"/>
                <w:color w:val="00000A"/>
                <w:sz w:val="16"/>
                <w:szCs w:val="16"/>
              </w:rPr>
            </w:pPr>
            <w:commentRangeStart w:id="48"/>
            <w:r>
              <w:rPr>
                <w:rFonts w:ascii="Kinnari" w:eastAsia="Kinnari" w:hAnsi="Kinnari" w:cs="Kinnari"/>
                <w:color w:val="00000A"/>
                <w:sz w:val="16"/>
                <w:szCs w:val="16"/>
              </w:rPr>
              <w:lastRenderedPageBreak/>
              <w:t xml:space="preserve">瀕危等級 </w:t>
            </w:r>
          </w:p>
          <w:p w14:paraId="1DF3D2B3"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b/>
                <w:color w:val="00000A"/>
                <w:sz w:val="16"/>
                <w:szCs w:val="16"/>
              </w:rPr>
              <w:t>Vulnerability</w:t>
            </w:r>
            <w:commentRangeEnd w:id="48"/>
            <w:r w:rsidR="00F70410">
              <w:rPr>
                <w:rStyle w:val="ad"/>
              </w:rPr>
              <w:commentReference w:id="48"/>
            </w:r>
          </w:p>
        </w:tc>
        <w:tc>
          <w:tcPr>
            <w:tcW w:w="2176" w:type="dxa"/>
            <w:tcBorders>
              <w:left w:val="nil"/>
              <w:right w:val="nil"/>
            </w:tcBorders>
          </w:tcPr>
          <w:p w14:paraId="2DE6E57C" w14:textId="77777777" w:rsidR="002A1C85" w:rsidRDefault="001217C9">
            <w:pPr>
              <w:pStyle w:val="10"/>
              <w:spacing w:line="360" w:lineRule="auto"/>
              <w:rPr>
                <w:rFonts w:ascii="新細明體" w:eastAsia="新細明體" w:hAnsi="新細明體" w:cs="新細明體"/>
                <w:color w:val="00000A"/>
                <w:sz w:val="16"/>
                <w:szCs w:val="16"/>
              </w:rPr>
            </w:pPr>
            <w:r>
              <w:rPr>
                <w:rFonts w:ascii="新細明體" w:eastAsia="新細明體" w:hAnsi="新細明體" w:cs="新細明體"/>
                <w:color w:val="00000A"/>
                <w:sz w:val="16"/>
                <w:szCs w:val="16"/>
              </w:rPr>
              <w:t>可以直接使用</w:t>
            </w:r>
            <w:r>
              <w:rPr>
                <w:rFonts w:ascii="Kinnari" w:eastAsia="Kinnari" w:hAnsi="Kinnari" w:cs="Kinnari"/>
                <w:color w:val="00000A"/>
                <w:sz w:val="16"/>
                <w:szCs w:val="16"/>
              </w:rPr>
              <w:t>IUCN</w:t>
            </w:r>
            <w:r>
              <w:rPr>
                <w:rFonts w:ascii="新細明體" w:eastAsia="新細明體" w:hAnsi="新細明體" w:cs="新細明體"/>
                <w:color w:val="00000A"/>
                <w:sz w:val="16"/>
                <w:szCs w:val="16"/>
              </w:rPr>
              <w:t xml:space="preserve"> </w:t>
            </w:r>
            <w:r>
              <w:rPr>
                <w:rFonts w:ascii="Kinnari" w:eastAsia="Kinnari" w:hAnsi="Kinnari" w:cs="Kinnari"/>
                <w:color w:val="00000A"/>
                <w:sz w:val="16"/>
                <w:szCs w:val="16"/>
              </w:rPr>
              <w:t xml:space="preserve"> Red List</w:t>
            </w:r>
            <w:r>
              <w:rPr>
                <w:rFonts w:ascii="新細明體" w:eastAsia="新細明體" w:hAnsi="新細明體" w:cs="新細明體"/>
                <w:color w:val="00000A"/>
                <w:sz w:val="16"/>
                <w:szCs w:val="16"/>
              </w:rPr>
              <w:t>的等第給予分數。</w:t>
            </w:r>
          </w:p>
        </w:tc>
        <w:tc>
          <w:tcPr>
            <w:tcW w:w="3125" w:type="dxa"/>
            <w:tcBorders>
              <w:left w:val="nil"/>
              <w:right w:val="nil"/>
            </w:tcBorders>
          </w:tcPr>
          <w:p w14:paraId="0DFE9254" w14:textId="77777777" w:rsidR="002A1C85" w:rsidRDefault="001217C9">
            <w:pPr>
              <w:pStyle w:val="10"/>
              <w:spacing w:line="360" w:lineRule="auto"/>
              <w:rPr>
                <w:rFonts w:ascii="新細明體" w:eastAsia="新細明體" w:hAnsi="新細明體" w:cs="新細明體"/>
                <w:color w:val="00000A"/>
                <w:sz w:val="16"/>
                <w:szCs w:val="16"/>
              </w:rPr>
            </w:pPr>
            <w:r>
              <w:rPr>
                <w:rFonts w:ascii="新細明體" w:eastAsia="新細明體" w:hAnsi="新細明體" w:cs="新細明體"/>
                <w:color w:val="00000A"/>
                <w:sz w:val="16"/>
                <w:szCs w:val="16"/>
              </w:rPr>
              <w:t>影</w:t>
            </w:r>
            <w:r>
              <w:rPr>
                <w:rFonts w:ascii="Kinnari" w:eastAsia="Kinnari" w:hAnsi="Kinnari" w:cs="Kinnari"/>
                <w:color w:val="00000A"/>
                <w:sz w:val="16"/>
                <w:szCs w:val="16"/>
              </w:rPr>
              <w:t>響保育必要性最直接的指標，若是滅絕可能性非常低的物種，則沒有必要去保育。</w:t>
            </w:r>
          </w:p>
        </w:tc>
        <w:tc>
          <w:tcPr>
            <w:tcW w:w="1609" w:type="dxa"/>
            <w:tcBorders>
              <w:left w:val="nil"/>
              <w:right w:val="nil"/>
            </w:tcBorders>
          </w:tcPr>
          <w:p w14:paraId="7A40508B" w14:textId="77777777" w:rsidR="002A1C85" w:rsidRPr="00FF0532" w:rsidRDefault="001217C9">
            <w:pPr>
              <w:pStyle w:val="10"/>
              <w:spacing w:line="360" w:lineRule="auto"/>
              <w:rPr>
                <w:rFonts w:ascii="Calibri" w:hAnsi="Calibri" w:cs="Calibri"/>
                <w:color w:val="FF0000"/>
              </w:rPr>
            </w:pPr>
            <w:r>
              <w:rPr>
                <w:rFonts w:ascii="Kinnari" w:eastAsia="Kinnari" w:hAnsi="Kinnari" w:cs="Kinnari"/>
                <w:color w:val="FF0000"/>
                <w:sz w:val="16"/>
                <w:szCs w:val="16"/>
              </w:rPr>
              <w:t>IUCN Redlist ver 3.1</w:t>
            </w:r>
            <w:r w:rsidR="006A2935">
              <w:rPr>
                <w:rFonts w:ascii="Kinnari" w:hAnsi="Kinnari" w:cs="Kinnari" w:hint="eastAsia"/>
                <w:color w:val="FF0000"/>
                <w:sz w:val="16"/>
                <w:szCs w:val="16"/>
              </w:rPr>
              <w:t xml:space="preserve"> 2012</w:t>
            </w:r>
          </w:p>
        </w:tc>
      </w:tr>
      <w:tr w:rsidR="002A1C85" w14:paraId="2BFA9C78" w14:textId="77777777">
        <w:tc>
          <w:tcPr>
            <w:tcW w:w="1878" w:type="dxa"/>
            <w:tcBorders>
              <w:left w:val="nil"/>
              <w:right w:val="nil"/>
            </w:tcBorders>
          </w:tcPr>
          <w:p w14:paraId="2033FE56"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特有性 (Endemism)</w:t>
            </w:r>
          </w:p>
          <w:p w14:paraId="05B0E63D"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b/>
                <w:color w:val="00000A"/>
                <w:sz w:val="16"/>
                <w:szCs w:val="16"/>
              </w:rPr>
              <w:t>Irreplaceability</w:t>
            </w:r>
          </w:p>
        </w:tc>
        <w:tc>
          <w:tcPr>
            <w:tcW w:w="2176" w:type="dxa"/>
            <w:tcBorders>
              <w:left w:val="nil"/>
              <w:right w:val="nil"/>
            </w:tcBorders>
          </w:tcPr>
          <w:p w14:paraId="6E7D6017"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該物種的原始分布是否只侷限在某地區內。</w:t>
            </w:r>
            <w:commentRangeStart w:id="49"/>
            <w:r>
              <w:rPr>
                <w:rFonts w:ascii="Kinnari" w:eastAsia="Kinnari" w:hAnsi="Kinnari" w:cs="Kinnari"/>
                <w:color w:val="00000A"/>
                <w:sz w:val="16"/>
                <w:szCs w:val="16"/>
              </w:rPr>
              <w:t>(與親緣獨特性不同)</w:t>
            </w:r>
            <w:commentRangeEnd w:id="49"/>
            <w:r w:rsidR="00043334">
              <w:rPr>
                <w:rStyle w:val="ad"/>
              </w:rPr>
              <w:commentReference w:id="49"/>
            </w:r>
          </w:p>
        </w:tc>
        <w:tc>
          <w:tcPr>
            <w:tcW w:w="3125" w:type="dxa"/>
            <w:tcBorders>
              <w:left w:val="nil"/>
              <w:right w:val="nil"/>
            </w:tcBorders>
          </w:tcPr>
          <w:p w14:paraId="5ADC3975"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a. 考慮地區特有性(ex: 臺灣特有種、臺灣東部特有種、東南亞特有種等)，</w:t>
            </w:r>
            <w:r w:rsidR="006A2935">
              <w:rPr>
                <w:rFonts w:ascii="Kinnari" w:eastAsia="Kinnari" w:hAnsi="Kinnari" w:cs="Kinnari"/>
                <w:color w:val="00000A"/>
                <w:sz w:val="16"/>
                <w:szCs w:val="16"/>
              </w:rPr>
              <w:t>或是</w:t>
            </w:r>
            <w:r>
              <w:rPr>
                <w:rFonts w:ascii="Kinnari" w:eastAsia="Kinnari" w:hAnsi="Kinnari" w:cs="Kinnari"/>
                <w:color w:val="00000A"/>
                <w:sz w:val="16"/>
                <w:szCs w:val="16"/>
              </w:rPr>
              <w:t>分類階層的特有性(特有種、特有屬等)。</w:t>
            </w:r>
          </w:p>
          <w:p w14:paraId="4D9514F2"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b. 以該物種在此地區佔全球數量百分比設定特有性分數。</w:t>
            </w:r>
          </w:p>
        </w:tc>
        <w:tc>
          <w:tcPr>
            <w:tcW w:w="1609" w:type="dxa"/>
            <w:tcBorders>
              <w:left w:val="nil"/>
              <w:right w:val="nil"/>
            </w:tcBorders>
          </w:tcPr>
          <w:p w14:paraId="6B5160C7" w14:textId="77777777" w:rsidR="002A1C85" w:rsidRDefault="002A1C85">
            <w:pPr>
              <w:pStyle w:val="10"/>
              <w:spacing w:line="360" w:lineRule="auto"/>
              <w:rPr>
                <w:rFonts w:ascii="Kinnari" w:eastAsia="Kinnari" w:hAnsi="Kinnari" w:cs="Kinnari"/>
                <w:color w:val="00000A"/>
                <w:sz w:val="16"/>
                <w:szCs w:val="16"/>
              </w:rPr>
            </w:pPr>
          </w:p>
        </w:tc>
      </w:tr>
      <w:tr w:rsidR="002A1C85" w14:paraId="7528A608" w14:textId="77777777">
        <w:tc>
          <w:tcPr>
            <w:tcW w:w="1878" w:type="dxa"/>
            <w:tcBorders>
              <w:left w:val="nil"/>
              <w:right w:val="nil"/>
            </w:tcBorders>
          </w:tcPr>
          <w:p w14:paraId="485169E8"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親緣獨特性(Phylogeny Distinctiveness)</w:t>
            </w:r>
          </w:p>
          <w:p w14:paraId="7658B99A"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b/>
                <w:color w:val="00000A"/>
                <w:sz w:val="16"/>
                <w:szCs w:val="16"/>
              </w:rPr>
              <w:t>Irreplaceability</w:t>
            </w:r>
          </w:p>
        </w:tc>
        <w:tc>
          <w:tcPr>
            <w:tcW w:w="2176" w:type="dxa"/>
            <w:tcBorders>
              <w:left w:val="nil"/>
              <w:right w:val="nil"/>
            </w:tcBorders>
          </w:tcPr>
          <w:p w14:paraId="44D53E5C" w14:textId="77777777" w:rsidR="002A1C85" w:rsidRDefault="001217C9">
            <w:pPr>
              <w:pStyle w:val="10"/>
              <w:spacing w:line="360" w:lineRule="auto"/>
              <w:rPr>
                <w:rFonts w:ascii="新細明體" w:eastAsia="新細明體" w:hAnsi="新細明體" w:cs="新細明體"/>
                <w:color w:val="00000A"/>
                <w:sz w:val="16"/>
                <w:szCs w:val="16"/>
              </w:rPr>
            </w:pPr>
            <w:r>
              <w:rPr>
                <w:rFonts w:ascii="新細明體" w:eastAsia="新細明體" w:hAnsi="新細明體" w:cs="新細明體"/>
                <w:color w:val="00000A"/>
                <w:sz w:val="16"/>
                <w:szCs w:val="16"/>
              </w:rPr>
              <w:t>建構演化親緣樹或直接使用分類地位即可計算，有許多不同的計算方法。(Arponen 2012)</w:t>
            </w:r>
          </w:p>
        </w:tc>
        <w:tc>
          <w:tcPr>
            <w:tcW w:w="3125" w:type="dxa"/>
            <w:tcBorders>
              <w:left w:val="nil"/>
              <w:right w:val="nil"/>
            </w:tcBorders>
          </w:tcPr>
          <w:p w14:paraId="43C61B2D" w14:textId="77777777" w:rsidR="002A1C85" w:rsidRDefault="001217C9">
            <w:pPr>
              <w:pStyle w:val="10"/>
              <w:spacing w:line="360" w:lineRule="auto"/>
              <w:rPr>
                <w:rFonts w:ascii="新細明體" w:eastAsia="新細明體" w:hAnsi="新細明體" w:cs="新細明體"/>
                <w:color w:val="00000A"/>
                <w:sz w:val="16"/>
                <w:szCs w:val="16"/>
              </w:rPr>
            </w:pPr>
            <w:r>
              <w:rPr>
                <w:rFonts w:ascii="新細明體" w:eastAsia="新細明體" w:hAnsi="新細明體" w:cs="新細明體"/>
                <w:color w:val="00000A"/>
                <w:sz w:val="16"/>
                <w:szCs w:val="16"/>
              </w:rPr>
              <w:t>若要最大化某一區域內的全部基因庫，親緣上</w:t>
            </w:r>
            <w:r>
              <w:rPr>
                <w:rFonts w:ascii="Kinnari" w:eastAsia="Kinnari" w:hAnsi="Kinnari" w:cs="Kinnari"/>
                <w:color w:val="00000A"/>
                <w:sz w:val="16"/>
                <w:szCs w:val="16"/>
              </w:rPr>
              <w:t>(分類地位上)</w:t>
            </w:r>
            <w:r>
              <w:rPr>
                <w:rFonts w:ascii="新細明體" w:eastAsia="新細明體" w:hAnsi="新細明體" w:cs="新細明體"/>
                <w:color w:val="00000A"/>
                <w:sz w:val="16"/>
                <w:szCs w:val="16"/>
              </w:rPr>
              <w:t>越獨特的物種越具有保育價值。不同的計算方法結果可能差異很大，如重視化石物種或是重視最複雜的物種。此外，親緣樹的大小以及分類地位的改變也會嚴重影響結果。</w:t>
            </w:r>
          </w:p>
        </w:tc>
        <w:tc>
          <w:tcPr>
            <w:tcW w:w="1609" w:type="dxa"/>
            <w:tcBorders>
              <w:left w:val="nil"/>
              <w:right w:val="nil"/>
            </w:tcBorders>
          </w:tcPr>
          <w:p w14:paraId="220D5954" w14:textId="77777777" w:rsidR="002A1C85" w:rsidRDefault="001217C9">
            <w:pPr>
              <w:pStyle w:val="10"/>
              <w:spacing w:line="360" w:lineRule="auto"/>
              <w:rPr>
                <w:rFonts w:ascii="Calibri" w:eastAsia="Calibri" w:hAnsi="Calibri" w:cs="Calibri"/>
                <w:color w:val="00000A"/>
              </w:rPr>
            </w:pPr>
            <w:r>
              <w:rPr>
                <w:rFonts w:ascii="Kinnari" w:eastAsia="Kinnari" w:hAnsi="Kinnari" w:cs="Kinnari"/>
                <w:color w:val="00000A"/>
                <w:sz w:val="16"/>
                <w:szCs w:val="16"/>
              </w:rPr>
              <w:t>Arponen 2012</w:t>
            </w:r>
          </w:p>
        </w:tc>
      </w:tr>
    </w:tbl>
    <w:p w14:paraId="33767BCA" w14:textId="77777777" w:rsidR="002A1C85" w:rsidRDefault="002A1C85">
      <w:pPr>
        <w:pStyle w:val="10"/>
        <w:widowControl w:val="0"/>
        <w:spacing w:line="360" w:lineRule="auto"/>
        <w:jc w:val="both"/>
        <w:rPr>
          <w:rFonts w:ascii="Kinnari" w:eastAsia="Kinnari" w:hAnsi="Kinnari" w:cs="Kinnari"/>
          <w:color w:val="FF0000"/>
          <w:sz w:val="24"/>
          <w:szCs w:val="24"/>
          <w:highlight w:val="white"/>
        </w:rPr>
      </w:pPr>
    </w:p>
    <w:p w14:paraId="6377CA0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表二、物種保育價值評估(參考)</w:t>
      </w:r>
    </w:p>
    <w:tbl>
      <w:tblPr>
        <w:tblStyle w:val="a6"/>
        <w:tblW w:w="5103"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4"/>
        <w:gridCol w:w="849"/>
      </w:tblGrid>
      <w:tr w:rsidR="002A1C85" w14:paraId="4CEA3F5C" w14:textId="77777777">
        <w:trPr>
          <w:trHeight w:val="160"/>
        </w:trPr>
        <w:tc>
          <w:tcPr>
            <w:tcW w:w="4254" w:type="dxa"/>
            <w:tcBorders>
              <w:top w:val="single" w:sz="4" w:space="0" w:color="00000A"/>
              <w:left w:val="nil"/>
              <w:bottom w:val="single" w:sz="4" w:space="0" w:color="00000A"/>
              <w:right w:val="nil"/>
            </w:tcBorders>
          </w:tcPr>
          <w:p w14:paraId="058E39A0"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指標</w:t>
            </w:r>
          </w:p>
        </w:tc>
        <w:tc>
          <w:tcPr>
            <w:tcW w:w="849" w:type="dxa"/>
            <w:tcBorders>
              <w:top w:val="single" w:sz="4" w:space="0" w:color="00000A"/>
              <w:left w:val="nil"/>
              <w:bottom w:val="single" w:sz="4" w:space="0" w:color="00000A"/>
              <w:right w:val="nil"/>
            </w:tcBorders>
          </w:tcPr>
          <w:p w14:paraId="3C4562C0" w14:textId="77777777" w:rsidR="002A1C85" w:rsidRDefault="001217C9">
            <w:pPr>
              <w:pStyle w:val="10"/>
              <w:widowControl w:val="0"/>
              <w:spacing w:line="360" w:lineRule="auto"/>
              <w:jc w:val="right"/>
              <w:rPr>
                <w:rFonts w:ascii="新細明體" w:eastAsia="新細明體" w:hAnsi="新細明體" w:cs="新細明體"/>
                <w:color w:val="00000A"/>
                <w:sz w:val="20"/>
                <w:szCs w:val="20"/>
              </w:rPr>
            </w:pPr>
            <w:r>
              <w:rPr>
                <w:rFonts w:ascii="Kinnari" w:eastAsia="Kinnari" w:hAnsi="Kinnari" w:cs="Kinnari"/>
                <w:color w:val="00000A"/>
                <w:sz w:val="20"/>
                <w:szCs w:val="20"/>
              </w:rPr>
              <w:t>分數</w:t>
            </w:r>
          </w:p>
        </w:tc>
      </w:tr>
      <w:tr w:rsidR="002A1C85" w14:paraId="5D277329" w14:textId="77777777">
        <w:trPr>
          <w:trHeight w:val="220"/>
        </w:trPr>
        <w:tc>
          <w:tcPr>
            <w:tcW w:w="4254" w:type="dxa"/>
            <w:tcBorders>
              <w:top w:val="single" w:sz="4" w:space="0" w:color="00000A"/>
              <w:left w:val="nil"/>
              <w:bottom w:val="nil"/>
              <w:right w:val="nil"/>
            </w:tcBorders>
          </w:tcPr>
          <w:p w14:paraId="518D7D92"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 xml:space="preserve">經濟價值 </w:t>
            </w:r>
          </w:p>
        </w:tc>
        <w:tc>
          <w:tcPr>
            <w:tcW w:w="849" w:type="dxa"/>
            <w:tcBorders>
              <w:top w:val="single" w:sz="4" w:space="0" w:color="00000A"/>
              <w:left w:val="nil"/>
              <w:bottom w:val="nil"/>
              <w:right w:val="nil"/>
            </w:tcBorders>
          </w:tcPr>
          <w:p w14:paraId="3C171904"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422E23E3" w14:textId="77777777">
        <w:trPr>
          <w:trHeight w:val="240"/>
        </w:trPr>
        <w:tc>
          <w:tcPr>
            <w:tcW w:w="4254" w:type="dxa"/>
            <w:tcBorders>
              <w:top w:val="nil"/>
              <w:left w:val="nil"/>
              <w:bottom w:val="nil"/>
              <w:right w:val="nil"/>
            </w:tcBorders>
          </w:tcPr>
          <w:p w14:paraId="4D79DB63"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食用價值 = 1、高度食用價值 = 2</w:t>
            </w:r>
          </w:p>
        </w:tc>
        <w:tc>
          <w:tcPr>
            <w:tcW w:w="849" w:type="dxa"/>
            <w:tcBorders>
              <w:top w:val="nil"/>
              <w:left w:val="nil"/>
              <w:bottom w:val="nil"/>
              <w:right w:val="nil"/>
            </w:tcBorders>
          </w:tcPr>
          <w:p w14:paraId="56E24998"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1~2</w:t>
            </w:r>
          </w:p>
        </w:tc>
      </w:tr>
      <w:tr w:rsidR="002A1C85" w14:paraId="61879C03" w14:textId="77777777">
        <w:trPr>
          <w:trHeight w:val="280"/>
        </w:trPr>
        <w:tc>
          <w:tcPr>
            <w:tcW w:w="4254" w:type="dxa"/>
            <w:tcBorders>
              <w:top w:val="nil"/>
              <w:left w:val="nil"/>
              <w:bottom w:val="nil"/>
              <w:right w:val="nil"/>
            </w:tcBorders>
          </w:tcPr>
          <w:p w14:paraId="7F2382DE"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觀賞價值 = 1、高度觀賞價值 = 2</w:t>
            </w:r>
          </w:p>
        </w:tc>
        <w:tc>
          <w:tcPr>
            <w:tcW w:w="849" w:type="dxa"/>
            <w:tcBorders>
              <w:top w:val="nil"/>
              <w:left w:val="nil"/>
              <w:bottom w:val="nil"/>
              <w:right w:val="nil"/>
            </w:tcBorders>
          </w:tcPr>
          <w:p w14:paraId="106082D3"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1~2</w:t>
            </w:r>
          </w:p>
        </w:tc>
      </w:tr>
      <w:tr w:rsidR="002A1C85" w14:paraId="69B22B3B" w14:textId="77777777">
        <w:trPr>
          <w:trHeight w:val="260"/>
        </w:trPr>
        <w:tc>
          <w:tcPr>
            <w:tcW w:w="4254" w:type="dxa"/>
            <w:tcBorders>
              <w:top w:val="nil"/>
              <w:left w:val="nil"/>
              <w:bottom w:val="nil"/>
              <w:right w:val="nil"/>
            </w:tcBorders>
          </w:tcPr>
          <w:p w14:paraId="2A79043F"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生態重要性</w:t>
            </w:r>
          </w:p>
        </w:tc>
        <w:tc>
          <w:tcPr>
            <w:tcW w:w="849" w:type="dxa"/>
            <w:tcBorders>
              <w:top w:val="nil"/>
              <w:left w:val="nil"/>
              <w:bottom w:val="nil"/>
              <w:right w:val="nil"/>
            </w:tcBorders>
          </w:tcPr>
          <w:p w14:paraId="7FA4A09A"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5A3EA85D" w14:textId="77777777">
        <w:trPr>
          <w:trHeight w:val="280"/>
        </w:trPr>
        <w:tc>
          <w:tcPr>
            <w:tcW w:w="4254" w:type="dxa"/>
            <w:tcBorders>
              <w:top w:val="nil"/>
              <w:left w:val="nil"/>
              <w:bottom w:val="nil"/>
              <w:right w:val="nil"/>
            </w:tcBorders>
          </w:tcPr>
          <w:p w14:paraId="733156D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文獻記載為keystone species</w:t>
            </w:r>
          </w:p>
        </w:tc>
        <w:tc>
          <w:tcPr>
            <w:tcW w:w="849" w:type="dxa"/>
            <w:tcBorders>
              <w:top w:val="nil"/>
              <w:left w:val="nil"/>
              <w:bottom w:val="nil"/>
              <w:right w:val="nil"/>
            </w:tcBorders>
          </w:tcPr>
          <w:p w14:paraId="46DE53B9"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tc>
      </w:tr>
      <w:tr w:rsidR="002A1C85" w14:paraId="784A4DFB" w14:textId="77777777">
        <w:trPr>
          <w:trHeight w:val="260"/>
        </w:trPr>
        <w:tc>
          <w:tcPr>
            <w:tcW w:w="4254" w:type="dxa"/>
            <w:tcBorders>
              <w:top w:val="nil"/>
              <w:left w:val="nil"/>
              <w:bottom w:val="nil"/>
              <w:right w:val="nil"/>
            </w:tcBorders>
          </w:tcPr>
          <w:p w14:paraId="30CDCE8E"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紅皮書瀕危等級</w:t>
            </w:r>
          </w:p>
        </w:tc>
        <w:tc>
          <w:tcPr>
            <w:tcW w:w="849" w:type="dxa"/>
            <w:tcBorders>
              <w:top w:val="nil"/>
              <w:left w:val="nil"/>
              <w:bottom w:val="nil"/>
              <w:right w:val="nil"/>
            </w:tcBorders>
          </w:tcPr>
          <w:p w14:paraId="6279DE19"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343AAED6" w14:textId="77777777">
        <w:trPr>
          <w:trHeight w:val="280"/>
        </w:trPr>
        <w:tc>
          <w:tcPr>
            <w:tcW w:w="4254" w:type="dxa"/>
            <w:tcBorders>
              <w:top w:val="nil"/>
              <w:left w:val="nil"/>
              <w:bottom w:val="nil"/>
              <w:right w:val="nil"/>
            </w:tcBorders>
          </w:tcPr>
          <w:p w14:paraId="559E7B69"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VU = 1、EN = 2、CR = 3</w:t>
            </w:r>
          </w:p>
        </w:tc>
        <w:tc>
          <w:tcPr>
            <w:tcW w:w="849" w:type="dxa"/>
            <w:tcBorders>
              <w:top w:val="nil"/>
              <w:left w:val="nil"/>
              <w:bottom w:val="nil"/>
              <w:right w:val="nil"/>
            </w:tcBorders>
          </w:tcPr>
          <w:p w14:paraId="3BF15445"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1~3</w:t>
            </w:r>
          </w:p>
        </w:tc>
      </w:tr>
      <w:tr w:rsidR="002A1C85" w14:paraId="28BAA3B6" w14:textId="77777777">
        <w:trPr>
          <w:trHeight w:val="260"/>
        </w:trPr>
        <w:tc>
          <w:tcPr>
            <w:tcW w:w="4254" w:type="dxa"/>
            <w:tcBorders>
              <w:top w:val="nil"/>
              <w:left w:val="nil"/>
              <w:bottom w:val="nil"/>
              <w:right w:val="nil"/>
            </w:tcBorders>
          </w:tcPr>
          <w:p w14:paraId="4A52246E"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不可替代性</w:t>
            </w:r>
          </w:p>
        </w:tc>
        <w:tc>
          <w:tcPr>
            <w:tcW w:w="849" w:type="dxa"/>
            <w:tcBorders>
              <w:top w:val="nil"/>
              <w:left w:val="nil"/>
              <w:bottom w:val="nil"/>
              <w:right w:val="nil"/>
            </w:tcBorders>
          </w:tcPr>
          <w:p w14:paraId="4C4C5DE3"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1C9EE5AB" w14:textId="77777777">
        <w:trPr>
          <w:trHeight w:val="280"/>
        </w:trPr>
        <w:tc>
          <w:tcPr>
            <w:tcW w:w="4254" w:type="dxa"/>
            <w:tcBorders>
              <w:top w:val="nil"/>
              <w:left w:val="nil"/>
              <w:bottom w:val="single" w:sz="4" w:space="0" w:color="00000A"/>
              <w:right w:val="nil"/>
            </w:tcBorders>
          </w:tcPr>
          <w:p w14:paraId="1B273338"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w:t>
            </w:r>
            <w:r>
              <w:rPr>
                <w:rFonts w:ascii="新細明體" w:eastAsia="新細明體" w:hAnsi="新細明體" w:cs="新細明體"/>
                <w:color w:val="00000A"/>
                <w:sz w:val="16"/>
                <w:szCs w:val="16"/>
              </w:rPr>
              <w:t>為臺灣特有種</w:t>
            </w:r>
          </w:p>
        </w:tc>
        <w:tc>
          <w:tcPr>
            <w:tcW w:w="849" w:type="dxa"/>
            <w:tcBorders>
              <w:top w:val="nil"/>
              <w:left w:val="nil"/>
              <w:bottom w:val="single" w:sz="4" w:space="0" w:color="00000A"/>
              <w:right w:val="nil"/>
            </w:tcBorders>
          </w:tcPr>
          <w:p w14:paraId="49E4A45D"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p w14:paraId="63826664" w14:textId="77777777" w:rsidR="002A1C85" w:rsidRDefault="002A1C85">
            <w:pPr>
              <w:pStyle w:val="10"/>
              <w:widowControl w:val="0"/>
              <w:spacing w:line="360" w:lineRule="auto"/>
              <w:jc w:val="right"/>
              <w:rPr>
                <w:rFonts w:ascii="Kinnari" w:eastAsia="Kinnari" w:hAnsi="Kinnari" w:cs="Kinnari"/>
                <w:color w:val="00000A"/>
                <w:sz w:val="16"/>
                <w:szCs w:val="16"/>
              </w:rPr>
            </w:pPr>
          </w:p>
        </w:tc>
      </w:tr>
    </w:tbl>
    <w:p w14:paraId="16DD94B6"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*若不符合敘述則為0分</w:t>
      </w:r>
    </w:p>
    <w:p w14:paraId="4D9EB773"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5CF08C7E"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&lt;評估保育恢復潛力</w:t>
      </w:r>
      <w:r w:rsidR="00043334">
        <w:rPr>
          <w:rFonts w:ascii="Kinnari" w:hAnsi="Kinnari" w:cs="Kinnari" w:hint="eastAsia"/>
          <w:color w:val="00000A"/>
          <w:sz w:val="24"/>
          <w:szCs w:val="24"/>
        </w:rPr>
        <w:t>P</w:t>
      </w:r>
      <w:r>
        <w:rPr>
          <w:rFonts w:ascii="Kinnari" w:eastAsia="Kinnari" w:hAnsi="Kinnari" w:cs="Kinnari"/>
          <w:color w:val="00000A"/>
          <w:sz w:val="24"/>
          <w:szCs w:val="24"/>
        </w:rPr>
        <w:tab/>
        <w:t>&gt;</w:t>
      </w:r>
    </w:p>
    <w:p w14:paraId="134AB630" w14:textId="77777777" w:rsidR="002A1C85" w:rsidRDefault="001217C9">
      <w:pPr>
        <w:pStyle w:val="10"/>
        <w:widowControl w:val="0"/>
        <w:spacing w:line="360" w:lineRule="auto"/>
        <w:jc w:val="both"/>
        <w:rPr>
          <w:rFonts w:ascii="新細明體" w:eastAsia="新細明體" w:hAnsi="新細明體" w:cs="新細明體"/>
          <w:sz w:val="24"/>
          <w:szCs w:val="24"/>
          <w:highlight w:val="yellow"/>
        </w:rPr>
      </w:pPr>
      <w:r>
        <w:rPr>
          <w:rFonts w:ascii="Kinnari" w:eastAsia="Kinnari" w:hAnsi="Kinnari" w:cs="Kinnari"/>
          <w:color w:val="00000A"/>
          <w:sz w:val="24"/>
          <w:szCs w:val="24"/>
        </w:rPr>
        <w:t>要使</w:t>
      </w:r>
      <w:r w:rsidR="005920B1">
        <w:rPr>
          <w:rFonts w:ascii="Kinnari" w:hAnsi="Kinnari" w:cs="Kinnari" w:hint="eastAsia"/>
          <w:color w:val="00000A"/>
          <w:sz w:val="24"/>
          <w:szCs w:val="24"/>
        </w:rPr>
        <w:t>受脅物種的</w:t>
      </w:r>
      <w:r>
        <w:rPr>
          <w:rFonts w:ascii="Kinnari" w:eastAsia="Kinnari" w:hAnsi="Kinnari" w:cs="Kinnari"/>
          <w:color w:val="00000A"/>
          <w:sz w:val="24"/>
          <w:szCs w:val="24"/>
        </w:rPr>
        <w:t>族群恢復</w:t>
      </w:r>
      <w:r w:rsidR="005920B1">
        <w:rPr>
          <w:rFonts w:ascii="Kinnari" w:eastAsia="Kinnari" w:hAnsi="Kinnari" w:cs="Kinnari"/>
          <w:color w:val="00000A"/>
          <w:sz w:val="24"/>
          <w:szCs w:val="24"/>
        </w:rPr>
        <w:t>的方法</w:t>
      </w:r>
      <w:r>
        <w:rPr>
          <w:rFonts w:ascii="Kinnari" w:eastAsia="Kinnari" w:hAnsi="Kinnari" w:cs="Kinnari"/>
          <w:color w:val="00000A"/>
          <w:sz w:val="24"/>
          <w:szCs w:val="24"/>
        </w:rPr>
        <w:t>，</w:t>
      </w:r>
      <w:r w:rsidR="005920B1">
        <w:rPr>
          <w:rFonts w:ascii="Kinnari" w:hAnsi="Kinnari" w:cs="Kinnari" w:hint="eastAsia"/>
          <w:color w:val="00000A"/>
          <w:sz w:val="24"/>
          <w:szCs w:val="24"/>
        </w:rPr>
        <w:t>除了設法</w:t>
      </w:r>
      <w:r>
        <w:rPr>
          <w:rFonts w:ascii="Kinnari" w:eastAsia="Kinnari" w:hAnsi="Kinnari" w:cs="Kinnari"/>
          <w:color w:val="00000A"/>
          <w:sz w:val="24"/>
          <w:szCs w:val="24"/>
        </w:rPr>
        <w:t>將受脅因子</w:t>
      </w:r>
      <w:r w:rsidR="005920B1">
        <w:rPr>
          <w:rFonts w:ascii="Kinnari" w:eastAsia="Kinnari" w:hAnsi="Kinnari" w:cs="Kinnari"/>
          <w:color w:val="00000A"/>
          <w:sz w:val="24"/>
          <w:szCs w:val="24"/>
        </w:rPr>
        <w:t>消</w:t>
      </w:r>
      <w:r>
        <w:rPr>
          <w:rFonts w:ascii="Kinnari" w:eastAsia="Kinnari" w:hAnsi="Kinnari" w:cs="Kinnari"/>
          <w:color w:val="00000A"/>
          <w:sz w:val="24"/>
          <w:szCs w:val="24"/>
        </w:rPr>
        <w:t>除</w:t>
      </w:r>
      <w:r w:rsidR="005920B1">
        <w:rPr>
          <w:rFonts w:ascii="Kinnari" w:eastAsia="Kinnari" w:hAnsi="Kinnari" w:cs="Kinnari"/>
          <w:color w:val="00000A"/>
          <w:sz w:val="24"/>
          <w:szCs w:val="24"/>
        </w:rPr>
        <w:t>外</w:t>
      </w:r>
      <w:r>
        <w:rPr>
          <w:rFonts w:ascii="Kinnari" w:eastAsia="Kinnari" w:hAnsi="Kinnari" w:cs="Kinnari"/>
          <w:color w:val="00000A"/>
          <w:sz w:val="24"/>
          <w:szCs w:val="24"/>
        </w:rPr>
        <w:t>，</w:t>
      </w:r>
      <w:r w:rsidR="005920B1">
        <w:rPr>
          <w:rFonts w:ascii="Kinnari" w:eastAsia="Kinnari" w:hAnsi="Kinnari" w:cs="Kinnari"/>
          <w:color w:val="00000A"/>
          <w:sz w:val="24"/>
          <w:szCs w:val="24"/>
        </w:rPr>
        <w:t>也與</w:t>
      </w:r>
      <w:r>
        <w:rPr>
          <w:rFonts w:ascii="Kinnari" w:eastAsia="Kinnari" w:hAnsi="Kinnari" w:cs="Kinnari"/>
          <w:color w:val="00000A"/>
          <w:sz w:val="24"/>
          <w:szCs w:val="24"/>
        </w:rPr>
        <w:t>該物種</w:t>
      </w:r>
      <w:r w:rsidR="005920B1">
        <w:rPr>
          <w:rFonts w:ascii="Kinnari" w:eastAsia="Kinnari" w:hAnsi="Kinnari" w:cs="Kinnari"/>
          <w:color w:val="00000A"/>
          <w:sz w:val="24"/>
          <w:szCs w:val="24"/>
        </w:rPr>
        <w:t>本</w:t>
      </w:r>
      <w:r>
        <w:rPr>
          <w:rFonts w:ascii="Kinnari" w:eastAsia="Kinnari" w:hAnsi="Kinnari" w:cs="Kinnari"/>
          <w:color w:val="00000A"/>
          <w:sz w:val="24"/>
          <w:szCs w:val="24"/>
        </w:rPr>
        <w:t>身的生殖潛力</w:t>
      </w:r>
      <w:r w:rsidR="005920B1">
        <w:rPr>
          <w:rFonts w:ascii="Kinnari" w:eastAsia="Kinnari" w:hAnsi="Kinnari" w:cs="Kinnari"/>
          <w:color w:val="00000A"/>
          <w:sz w:val="24"/>
          <w:szCs w:val="24"/>
        </w:rPr>
        <w:t>有關</w:t>
      </w:r>
      <w:r>
        <w:rPr>
          <w:rFonts w:ascii="Kinnari" w:eastAsia="Kinnari" w:hAnsi="Kinnari" w:cs="Kinnari"/>
          <w:color w:val="00000A"/>
          <w:sz w:val="24"/>
          <w:szCs w:val="24"/>
        </w:rPr>
        <w:t>，因此各物種</w:t>
      </w:r>
      <w:r w:rsidR="002E6479">
        <w:rPr>
          <w:rFonts w:ascii="Kinnari" w:eastAsia="Kinnari" w:hAnsi="Kinnari" w:cs="Kinnari"/>
          <w:color w:val="00000A"/>
          <w:sz w:val="24"/>
          <w:szCs w:val="24"/>
        </w:rPr>
        <w:t>族群</w:t>
      </w:r>
      <w:r>
        <w:rPr>
          <w:rFonts w:ascii="Kinnari" w:eastAsia="Kinnari" w:hAnsi="Kinnari" w:cs="Kinnari"/>
          <w:color w:val="00000A"/>
          <w:sz w:val="24"/>
          <w:szCs w:val="24"/>
        </w:rPr>
        <w:t>的恢復潛力可從</w:t>
      </w:r>
      <w:r w:rsidR="002E6479">
        <w:rPr>
          <w:rFonts w:ascii="Kinnari" w:eastAsia="Kinnari" w:hAnsi="Kinnari" w:cs="Kinnari"/>
          <w:color w:val="00000A"/>
          <w:sz w:val="24"/>
          <w:szCs w:val="24"/>
        </w:rPr>
        <w:t>上述</w:t>
      </w:r>
      <w:r>
        <w:rPr>
          <w:rFonts w:ascii="Kinnari" w:eastAsia="Kinnari" w:hAnsi="Kinnari" w:cs="Kinnari"/>
          <w:color w:val="00000A"/>
          <w:sz w:val="24"/>
          <w:szCs w:val="24"/>
        </w:rPr>
        <w:t>兩個方面來推估，一為其主要受脅因子是否容易消除，另一為該物種自身的生殖潛力。其中</w:t>
      </w:r>
      <w:r>
        <w:rPr>
          <w:rFonts w:ascii="新細明體" w:eastAsia="新細明體" w:hAnsi="新細明體" w:cs="新細明體"/>
          <w:color w:val="00000A"/>
          <w:sz w:val="24"/>
          <w:szCs w:val="24"/>
        </w:rPr>
        <w:t>前者</w:t>
      </w:r>
      <w:r w:rsidR="002E6479">
        <w:rPr>
          <w:rFonts w:ascii="新細明體" w:eastAsia="新細明體" w:hAnsi="新細明體" w:cs="新細明體"/>
          <w:color w:val="00000A"/>
          <w:sz w:val="24"/>
          <w:szCs w:val="24"/>
        </w:rPr>
        <w:t>的重要性應該高於後者</w:t>
      </w:r>
      <w:r>
        <w:rPr>
          <w:rFonts w:ascii="Kinnari" w:eastAsia="Kinnari" w:hAnsi="Kinnari" w:cs="Kinnari"/>
          <w:color w:val="00000A"/>
          <w:sz w:val="24"/>
          <w:szCs w:val="24"/>
        </w:rPr>
        <w:t>，</w:t>
      </w:r>
      <w:r w:rsidR="002E6479">
        <w:rPr>
          <w:rFonts w:ascii="Kinnari" w:hAnsi="Kinnari" w:cs="Kinnari" w:hint="eastAsia"/>
          <w:color w:val="00000A"/>
          <w:sz w:val="24"/>
          <w:szCs w:val="24"/>
        </w:rPr>
        <w:t>通常的情況會是</w:t>
      </w:r>
      <w:r>
        <w:rPr>
          <w:rFonts w:ascii="Kinnari" w:eastAsia="Kinnari" w:hAnsi="Kinnari" w:cs="Kinnari"/>
          <w:color w:val="00000A"/>
          <w:sz w:val="24"/>
          <w:szCs w:val="24"/>
        </w:rPr>
        <w:t>受脅因子</w:t>
      </w:r>
      <w:r w:rsidR="002E6479">
        <w:rPr>
          <w:rFonts w:ascii="Kinnari" w:eastAsia="Kinnari" w:hAnsi="Kinnari" w:cs="Kinnari"/>
          <w:color w:val="00000A"/>
          <w:sz w:val="24"/>
          <w:szCs w:val="24"/>
        </w:rPr>
        <w:t>如果</w:t>
      </w:r>
      <w:r>
        <w:rPr>
          <w:rFonts w:ascii="Kinnari" w:eastAsia="Kinnari" w:hAnsi="Kinnari" w:cs="Kinnari"/>
          <w:color w:val="00000A"/>
          <w:sz w:val="24"/>
          <w:szCs w:val="24"/>
        </w:rPr>
        <w:t>無法</w:t>
      </w:r>
      <w:r w:rsidR="002E6479">
        <w:rPr>
          <w:rFonts w:ascii="Kinnari" w:hAnsi="Kinnari" w:cs="Kinnari" w:hint="eastAsia"/>
          <w:color w:val="00000A"/>
          <w:sz w:val="24"/>
          <w:szCs w:val="24"/>
        </w:rPr>
        <w:t>改善</w:t>
      </w:r>
      <w:r>
        <w:rPr>
          <w:rFonts w:ascii="Kinnari" w:eastAsia="Kinnari" w:hAnsi="Kinnari" w:cs="Kinnari"/>
          <w:color w:val="00000A"/>
          <w:sz w:val="24"/>
          <w:szCs w:val="24"/>
        </w:rPr>
        <w:t>，生殖潛力</w:t>
      </w:r>
      <w:r w:rsidR="002E6479">
        <w:rPr>
          <w:rFonts w:ascii="Kinnari" w:hAnsi="Kinnari" w:cs="Kinnari" w:hint="eastAsia"/>
          <w:color w:val="00000A"/>
          <w:sz w:val="24"/>
          <w:szCs w:val="24"/>
        </w:rPr>
        <w:t>即便</w:t>
      </w:r>
      <w:r>
        <w:rPr>
          <w:rFonts w:ascii="Kinnari" w:eastAsia="Kinnari" w:hAnsi="Kinnari" w:cs="Kinnari"/>
          <w:color w:val="00000A"/>
          <w:sz w:val="24"/>
          <w:szCs w:val="24"/>
        </w:rPr>
        <w:lastRenderedPageBreak/>
        <w:t>再高都沒辦法</w:t>
      </w:r>
      <w:r w:rsidR="002E6479">
        <w:rPr>
          <w:rFonts w:ascii="Kinnari" w:eastAsia="Kinnari" w:hAnsi="Kinnari" w:cs="Kinnari"/>
          <w:color w:val="00000A"/>
          <w:sz w:val="24"/>
          <w:szCs w:val="24"/>
        </w:rPr>
        <w:t>立刻</w:t>
      </w:r>
      <w:r>
        <w:rPr>
          <w:rFonts w:ascii="Kinnari" w:eastAsia="Kinnari" w:hAnsi="Kinnari" w:cs="Kinnari"/>
          <w:color w:val="00000A"/>
          <w:sz w:val="24"/>
          <w:szCs w:val="24"/>
        </w:rPr>
        <w:t>恢復</w:t>
      </w:r>
      <w:r w:rsidR="002E6479">
        <w:rPr>
          <w:rFonts w:ascii="Kinnari" w:eastAsia="Kinnari" w:hAnsi="Kinnari" w:cs="Kinnari"/>
          <w:color w:val="00000A"/>
          <w:sz w:val="24"/>
          <w:szCs w:val="24"/>
        </w:rPr>
        <w:t>，不過也有不少物種是因為本身生殖潛力較差，比較容易導致不易應對於突然的環境變動</w:t>
      </w:r>
      <w:r>
        <w:rPr>
          <w:rFonts w:ascii="Kinnari" w:eastAsia="Kinnari" w:hAnsi="Kinnari" w:cs="Kinnari"/>
          <w:color w:val="00000A"/>
          <w:sz w:val="24"/>
          <w:szCs w:val="24"/>
        </w:rPr>
        <w:t>。</w:t>
      </w:r>
      <w:r>
        <w:rPr>
          <w:rFonts w:ascii="Kinnari" w:eastAsia="Kinnari" w:hAnsi="Kinnari" w:cs="Kinnari"/>
          <w:color w:val="00000A"/>
          <w:sz w:val="24"/>
          <w:szCs w:val="24"/>
          <w:highlight w:val="yellow"/>
        </w:rPr>
        <w:t>最後，</w:t>
      </w:r>
      <w:commentRangeStart w:id="50"/>
      <w:r>
        <w:rPr>
          <w:rFonts w:ascii="Kinnari" w:eastAsia="Kinnari" w:hAnsi="Kinnari" w:cs="Kinnari"/>
          <w:color w:val="00000A"/>
          <w:sz w:val="24"/>
          <w:szCs w:val="24"/>
          <w:highlight w:val="yellow"/>
        </w:rPr>
        <w:t>需評估可能的恢復狀況</w:t>
      </w:r>
      <w:commentRangeEnd w:id="50"/>
      <w:r w:rsidR="00F96377">
        <w:rPr>
          <w:rStyle w:val="ad"/>
        </w:rPr>
        <w:commentReference w:id="50"/>
      </w:r>
      <w:r>
        <w:rPr>
          <w:rFonts w:ascii="Kinnari" w:eastAsia="Kinnari" w:hAnsi="Kinnari" w:cs="Kinnari"/>
          <w:color w:val="00000A"/>
          <w:sz w:val="24"/>
          <w:szCs w:val="24"/>
          <w:highlight w:val="yellow"/>
        </w:rPr>
        <w:t>，並以此做最後加權。</w:t>
      </w:r>
    </w:p>
    <w:p w14:paraId="343BFEF1" w14:textId="77777777" w:rsidR="002A1C85" w:rsidRDefault="002A1C85">
      <w:pPr>
        <w:pStyle w:val="10"/>
        <w:widowControl w:val="0"/>
        <w:spacing w:line="360" w:lineRule="auto"/>
        <w:jc w:val="both"/>
        <w:rPr>
          <w:rFonts w:ascii="Kinnari" w:eastAsia="Kinnari" w:hAnsi="Kinnari" w:cs="Kinnari"/>
          <w:color w:val="00000A"/>
          <w:sz w:val="24"/>
          <w:szCs w:val="24"/>
        </w:rPr>
      </w:pPr>
    </w:p>
    <w:p w14:paraId="7CB04388" w14:textId="77777777" w:rsidR="002A1C85" w:rsidRDefault="001217C9">
      <w:pPr>
        <w:pStyle w:val="10"/>
        <w:widowControl w:val="0"/>
        <w:spacing w:line="360" w:lineRule="auto"/>
        <w:jc w:val="both"/>
        <w:rPr>
          <w:rFonts w:ascii="Kinnari" w:eastAsia="Kinnari" w:hAnsi="Kinnari" w:cs="Kinnari"/>
          <w:b/>
          <w:color w:val="FF0000"/>
          <w:sz w:val="24"/>
          <w:szCs w:val="24"/>
          <w:highlight w:val="yellow"/>
        </w:rPr>
      </w:pPr>
      <w:commentRangeStart w:id="51"/>
      <w:r>
        <w:rPr>
          <w:rFonts w:ascii="Kinnari" w:eastAsia="Kinnari" w:hAnsi="Kinnari" w:cs="Kinnari"/>
          <w:b/>
          <w:color w:val="FF0000"/>
          <w:sz w:val="24"/>
          <w:szCs w:val="24"/>
          <w:highlight w:val="yellow"/>
        </w:rPr>
        <w:t>若是將恢復狀況評估加到裡面，會和生殖潛力重複，生殖潛力高，恢復狀況就會比較好，這兩者應是高度相關，所以似乎只能選一個放進去</w:t>
      </w:r>
      <w:commentRangeEnd w:id="51"/>
      <w:r w:rsidR="00F96377">
        <w:rPr>
          <w:rStyle w:val="ad"/>
        </w:rPr>
        <w:commentReference w:id="51"/>
      </w:r>
    </w:p>
    <w:p w14:paraId="111BAC66" w14:textId="77777777" w:rsidR="002A1C85" w:rsidRDefault="002A1C85">
      <w:pPr>
        <w:pStyle w:val="10"/>
        <w:widowControl w:val="0"/>
        <w:spacing w:line="360" w:lineRule="auto"/>
        <w:jc w:val="both"/>
        <w:rPr>
          <w:rFonts w:ascii="Kinnari" w:eastAsia="Kinnari" w:hAnsi="Kinnari" w:cs="Kinnari"/>
          <w:color w:val="00000A"/>
          <w:sz w:val="24"/>
          <w:szCs w:val="24"/>
        </w:rPr>
      </w:pPr>
    </w:p>
    <w:p w14:paraId="6DB17F6C" w14:textId="77777777" w:rsidR="002A1C85" w:rsidRDefault="00751734">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評估</w:t>
      </w:r>
      <w:r w:rsidR="001217C9">
        <w:rPr>
          <w:rFonts w:ascii="Kinnari" w:eastAsia="Kinnari" w:hAnsi="Kinnari" w:cs="Kinnari"/>
          <w:color w:val="00000A"/>
          <w:sz w:val="24"/>
          <w:szCs w:val="24"/>
        </w:rPr>
        <w:t>主要受脅因子</w:t>
      </w:r>
      <w:r>
        <w:rPr>
          <w:rFonts w:ascii="Kinnari" w:eastAsia="Kinnari" w:hAnsi="Kinnari" w:cs="Kinnari"/>
          <w:color w:val="00000A"/>
          <w:sz w:val="24"/>
          <w:szCs w:val="24"/>
        </w:rPr>
        <w:t>及</w:t>
      </w:r>
      <w:r w:rsidR="00D03047">
        <w:rPr>
          <w:rFonts w:ascii="Kinnari" w:eastAsia="Kinnari" w:hAnsi="Kinnari" w:cs="Kinnari"/>
          <w:color w:val="00000A"/>
          <w:sz w:val="24"/>
          <w:szCs w:val="24"/>
        </w:rPr>
        <w:t>減緩</w:t>
      </w:r>
      <w:r>
        <w:rPr>
          <w:rFonts w:ascii="Kinnari" w:eastAsia="Kinnari" w:hAnsi="Kinnari" w:cs="Kinnari"/>
          <w:color w:val="00000A"/>
          <w:sz w:val="24"/>
          <w:szCs w:val="24"/>
        </w:rPr>
        <w:t>的</w:t>
      </w:r>
      <w:r w:rsidR="001217C9">
        <w:rPr>
          <w:rFonts w:ascii="Kinnari" w:eastAsia="Kinnari" w:hAnsi="Kinnari" w:cs="Kinnari"/>
          <w:color w:val="00000A"/>
          <w:sz w:val="24"/>
          <w:szCs w:val="24"/>
        </w:rPr>
        <w:t>可行性</w:t>
      </w:r>
    </w:p>
    <w:p w14:paraId="4D723F2E" w14:textId="77777777" w:rsidR="002A1C85" w:rsidRDefault="00D03047">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此步驟是先</w:t>
      </w:r>
      <w:r w:rsidR="001217C9">
        <w:rPr>
          <w:rFonts w:ascii="Kinnari" w:eastAsia="Kinnari" w:hAnsi="Kinnari" w:cs="Kinnari"/>
          <w:color w:val="00000A"/>
          <w:sz w:val="24"/>
          <w:szCs w:val="24"/>
        </w:rPr>
        <w:t>將物種i</w:t>
      </w:r>
      <w:r>
        <w:rPr>
          <w:rFonts w:ascii="Kinnari" w:hAnsi="Kinnari" w:cs="Kinnari" w:hint="eastAsia"/>
          <w:color w:val="00000A"/>
          <w:sz w:val="24"/>
          <w:szCs w:val="24"/>
        </w:rPr>
        <w:t>已知</w:t>
      </w:r>
      <w:r w:rsidR="001217C9">
        <w:rPr>
          <w:rFonts w:ascii="Kinnari" w:eastAsia="Kinnari" w:hAnsi="Kinnari" w:cs="Kinnari"/>
          <w:color w:val="00000A"/>
          <w:sz w:val="24"/>
          <w:szCs w:val="24"/>
        </w:rPr>
        <w:t>威脅的</w:t>
      </w:r>
      <w:r>
        <w:rPr>
          <w:rFonts w:ascii="Kinnari" w:eastAsia="Kinnari" w:hAnsi="Kinnari" w:cs="Kinnari"/>
          <w:color w:val="00000A"/>
          <w:sz w:val="24"/>
          <w:szCs w:val="24"/>
        </w:rPr>
        <w:t>所有</w:t>
      </w:r>
      <w:r w:rsidR="001217C9">
        <w:rPr>
          <w:rFonts w:ascii="Kinnari" w:eastAsia="Kinnari" w:hAnsi="Kinnari" w:cs="Kinnari"/>
          <w:color w:val="00000A"/>
          <w:sz w:val="24"/>
          <w:szCs w:val="24"/>
        </w:rPr>
        <w:t>解決方案s列出，並評估其可行性F</w:t>
      </w:r>
      <w:r w:rsidR="001217C9">
        <w:rPr>
          <w:rFonts w:ascii="Kinnari" w:eastAsia="Kinnari" w:hAnsi="Kinnari" w:cs="Kinnari"/>
          <w:color w:val="00000A"/>
          <w:sz w:val="24"/>
          <w:szCs w:val="24"/>
          <w:vertAlign w:val="subscript"/>
        </w:rPr>
        <w:t>is</w:t>
      </w:r>
      <w:r w:rsidR="001217C9">
        <w:rPr>
          <w:rFonts w:ascii="Kinnari" w:eastAsia="Kinnari" w:hAnsi="Kinnari" w:cs="Kinnari"/>
          <w:color w:val="00000A"/>
          <w:sz w:val="24"/>
          <w:szCs w:val="24"/>
        </w:rPr>
        <w:t>(0~100%)</w:t>
      </w:r>
      <w:r w:rsidR="001217C9">
        <w:rPr>
          <w:rFonts w:ascii="新細明體" w:eastAsia="新細明體" w:hAnsi="新細明體" w:cs="新細明體"/>
          <w:color w:val="00000A"/>
          <w:sz w:val="24"/>
          <w:szCs w:val="24"/>
        </w:rPr>
        <w:t>，</w:t>
      </w:r>
      <w:r>
        <w:rPr>
          <w:rFonts w:ascii="新細明體" w:eastAsia="新細明體" w:hAnsi="新細明體" w:cs="新細明體"/>
          <w:color w:val="00000A"/>
          <w:sz w:val="24"/>
          <w:szCs w:val="24"/>
        </w:rPr>
        <w:t>方案是否能成功的可行性評估</w:t>
      </w:r>
      <w:r w:rsidR="001217C9">
        <w:rPr>
          <w:rFonts w:ascii="新細明體" w:eastAsia="新細明體" w:hAnsi="新細明體" w:cs="新細明體"/>
          <w:color w:val="00000A"/>
          <w:sz w:val="24"/>
          <w:szCs w:val="24"/>
        </w:rPr>
        <w:t>可</w:t>
      </w:r>
      <w:r>
        <w:rPr>
          <w:rFonts w:ascii="新細明體" w:eastAsia="新細明體" w:hAnsi="新細明體" w:cs="新細明體"/>
          <w:color w:val="00000A"/>
          <w:sz w:val="24"/>
          <w:szCs w:val="24"/>
        </w:rPr>
        <w:t>使用</w:t>
      </w:r>
      <w:r w:rsidR="001217C9">
        <w:rPr>
          <w:rFonts w:ascii="新細明體" w:eastAsia="新細明體" w:hAnsi="新細明體" w:cs="新細明體"/>
          <w:color w:val="00000A"/>
          <w:sz w:val="24"/>
          <w:szCs w:val="24"/>
        </w:rPr>
        <w:t>文獻回顧或進行先期試驗判斷，如表(三)</w:t>
      </w:r>
      <w:r w:rsidR="001217C9">
        <w:rPr>
          <w:rFonts w:ascii="Kinnari" w:eastAsia="Kinnari" w:hAnsi="Kinnari" w:cs="Kinnari"/>
          <w:color w:val="00000A"/>
          <w:sz w:val="24"/>
          <w:szCs w:val="24"/>
        </w:rPr>
        <w:t>，</w:t>
      </w:r>
      <w:r>
        <w:rPr>
          <w:rFonts w:ascii="Kinnari" w:eastAsia="Kinnari" w:hAnsi="Kinnari" w:cs="Kinnari"/>
          <w:color w:val="00000A"/>
          <w:sz w:val="24"/>
          <w:szCs w:val="24"/>
        </w:rPr>
        <w:t>據此</w:t>
      </w:r>
      <w:r w:rsidR="001217C9">
        <w:rPr>
          <w:rFonts w:ascii="Kinnari" w:eastAsia="Kinnari" w:hAnsi="Kinnari" w:cs="Kinnari"/>
          <w:color w:val="00000A"/>
          <w:sz w:val="24"/>
          <w:szCs w:val="24"/>
        </w:rPr>
        <w:t>計算乘積</w:t>
      </w:r>
      <w:r>
        <w:rPr>
          <w:rFonts w:ascii="Kinnari" w:hAnsi="Kinnari" w:cs="Kinnari" w:hint="eastAsia"/>
          <w:color w:val="00000A"/>
          <w:sz w:val="24"/>
          <w:szCs w:val="24"/>
        </w:rPr>
        <w:t>可</w:t>
      </w:r>
      <w:r w:rsidR="001217C9">
        <w:rPr>
          <w:rFonts w:ascii="Kinnari" w:eastAsia="Kinnari" w:hAnsi="Kinnari" w:cs="Kinnari"/>
          <w:color w:val="00000A"/>
          <w:sz w:val="24"/>
          <w:szCs w:val="24"/>
        </w:rPr>
        <w:t>得到</w:t>
      </w:r>
      <w:r>
        <w:rPr>
          <w:rFonts w:ascii="Kinnari" w:eastAsia="Kinnari" w:hAnsi="Kinnari" w:cs="Kinnari"/>
          <w:color w:val="00000A"/>
          <w:sz w:val="24"/>
          <w:szCs w:val="24"/>
        </w:rPr>
        <w:t>減緩</w:t>
      </w:r>
      <w:r w:rsidR="001217C9">
        <w:rPr>
          <w:rFonts w:ascii="Kinnari" w:eastAsia="Kinnari" w:hAnsi="Kinnari" w:cs="Kinnari"/>
          <w:color w:val="00000A"/>
          <w:sz w:val="24"/>
          <w:szCs w:val="24"/>
        </w:rPr>
        <w:t>受脅因子可行性(公式</w:t>
      </w:r>
      <w:r>
        <w:rPr>
          <w:rFonts w:ascii="新細明體" w:eastAsia="新細明體" w:hAnsi="新細明體" w:cs="新細明體" w:hint="eastAsia"/>
          <w:color w:val="00000A"/>
          <w:sz w:val="24"/>
          <w:szCs w:val="24"/>
        </w:rPr>
        <w:t>3</w:t>
      </w:r>
      <w:r w:rsidR="001217C9">
        <w:rPr>
          <w:rFonts w:ascii="Kinnari" w:eastAsia="Kinnari" w:hAnsi="Kinnari" w:cs="Kinnari"/>
          <w:color w:val="00000A"/>
          <w:sz w:val="24"/>
          <w:szCs w:val="24"/>
        </w:rPr>
        <w:t>)。</w:t>
      </w:r>
    </w:p>
    <w:p w14:paraId="32EEA5BF"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p>
    <w:p w14:paraId="085968A8"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新細明體" w:eastAsia="新細明體" w:hAnsi="新細明體" w:cs="新細明體"/>
          <w:color w:val="00000A"/>
          <w:sz w:val="24"/>
          <w:szCs w:val="24"/>
        </w:rPr>
        <w:t xml:space="preserve">表三、 </w:t>
      </w:r>
      <w:r>
        <w:rPr>
          <w:rFonts w:ascii="Kinnari" w:eastAsia="Kinnari" w:hAnsi="Kinnari" w:cs="Kinnari"/>
          <w:color w:val="00000A"/>
          <w:sz w:val="24"/>
          <w:szCs w:val="24"/>
        </w:rPr>
        <w:t>受脅因子消除可行性</w:t>
      </w:r>
      <w:r>
        <w:rPr>
          <w:rFonts w:ascii="新細明體" w:eastAsia="新細明體" w:hAnsi="新細明體" w:cs="新細明體"/>
          <w:color w:val="00000A"/>
          <w:sz w:val="24"/>
          <w:szCs w:val="24"/>
        </w:rPr>
        <w:t>判斷準則(</w:t>
      </w:r>
      <w:r>
        <w:rPr>
          <w:rFonts w:ascii="Kinnari" w:eastAsia="Kinnari" w:hAnsi="Kinnari" w:cs="Kinnari"/>
          <w:color w:val="00000A"/>
          <w:sz w:val="24"/>
          <w:szCs w:val="24"/>
        </w:rPr>
        <w:t>參考範例</w:t>
      </w:r>
      <w:r>
        <w:rPr>
          <w:rFonts w:ascii="新細明體" w:eastAsia="新細明體" w:hAnsi="新細明體" w:cs="新細明體"/>
          <w:color w:val="00000A"/>
          <w:sz w:val="24"/>
          <w:szCs w:val="24"/>
        </w:rPr>
        <w:t>)</w:t>
      </w:r>
    </w:p>
    <w:tbl>
      <w:tblPr>
        <w:tblStyle w:val="a7"/>
        <w:tblW w:w="5964" w:type="dxa"/>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0"/>
        <w:gridCol w:w="1330"/>
        <w:gridCol w:w="3114"/>
      </w:tblGrid>
      <w:tr w:rsidR="002A1C85" w14:paraId="341FB34D" w14:textId="77777777">
        <w:trPr>
          <w:trHeight w:val="340"/>
        </w:trPr>
        <w:tc>
          <w:tcPr>
            <w:tcW w:w="1520" w:type="dxa"/>
            <w:tcBorders>
              <w:top w:val="single" w:sz="4" w:space="0" w:color="00000A"/>
              <w:left w:val="nil"/>
              <w:bottom w:val="single" w:sz="4" w:space="0" w:color="00000A"/>
              <w:right w:val="nil"/>
            </w:tcBorders>
          </w:tcPr>
          <w:p w14:paraId="6910A775"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新細明體" w:eastAsia="新細明體" w:hAnsi="新細明體" w:cs="新細明體"/>
                <w:b/>
                <w:color w:val="00000A"/>
                <w:sz w:val="20"/>
                <w:szCs w:val="20"/>
              </w:rPr>
              <w:t>可行性</w:t>
            </w:r>
            <w:r>
              <w:rPr>
                <w:rFonts w:ascii="Kinnari" w:eastAsia="Kinnari" w:hAnsi="Kinnari" w:cs="Kinnari"/>
                <w:b/>
                <w:color w:val="00000A"/>
                <w:sz w:val="20"/>
                <w:szCs w:val="20"/>
              </w:rPr>
              <w:t>類別</w:t>
            </w:r>
          </w:p>
        </w:tc>
        <w:tc>
          <w:tcPr>
            <w:tcW w:w="1330" w:type="dxa"/>
            <w:tcBorders>
              <w:top w:val="single" w:sz="4" w:space="0" w:color="00000A"/>
              <w:left w:val="nil"/>
              <w:bottom w:val="single" w:sz="4" w:space="0" w:color="00000A"/>
              <w:right w:val="nil"/>
            </w:tcBorders>
          </w:tcPr>
          <w:p w14:paraId="3EF516B6" w14:textId="77777777" w:rsidR="002A1C85" w:rsidRDefault="001217C9">
            <w:pPr>
              <w:pStyle w:val="10"/>
              <w:widowControl w:val="0"/>
              <w:spacing w:line="360" w:lineRule="auto"/>
              <w:rPr>
                <w:rFonts w:ascii="新細明體" w:eastAsia="新細明體" w:hAnsi="新細明體" w:cs="新細明體"/>
                <w:color w:val="00000A"/>
                <w:sz w:val="20"/>
                <w:szCs w:val="20"/>
              </w:rPr>
            </w:pPr>
            <w:r>
              <w:rPr>
                <w:rFonts w:ascii="Kinnari" w:eastAsia="Kinnari" w:hAnsi="Kinnari" w:cs="Kinnari"/>
                <w:b/>
                <w:color w:val="00000A"/>
                <w:sz w:val="20"/>
                <w:szCs w:val="20"/>
              </w:rPr>
              <w:t>可行性%</w:t>
            </w:r>
          </w:p>
        </w:tc>
        <w:tc>
          <w:tcPr>
            <w:tcW w:w="3114" w:type="dxa"/>
            <w:tcBorders>
              <w:top w:val="single" w:sz="4" w:space="0" w:color="00000A"/>
              <w:left w:val="nil"/>
              <w:bottom w:val="single" w:sz="4" w:space="0" w:color="00000A"/>
              <w:right w:val="nil"/>
            </w:tcBorders>
          </w:tcPr>
          <w:p w14:paraId="5B750A79" w14:textId="77777777" w:rsidR="002A1C85" w:rsidRDefault="001217C9">
            <w:pPr>
              <w:pStyle w:val="10"/>
              <w:widowControl w:val="0"/>
              <w:spacing w:line="360" w:lineRule="auto"/>
              <w:jc w:val="right"/>
              <w:rPr>
                <w:rFonts w:ascii="新細明體" w:eastAsia="新細明體" w:hAnsi="新細明體" w:cs="新細明體"/>
                <w:color w:val="00000A"/>
                <w:sz w:val="20"/>
                <w:szCs w:val="20"/>
              </w:rPr>
            </w:pPr>
            <w:r>
              <w:rPr>
                <w:rFonts w:ascii="新細明體" w:eastAsia="新細明體" w:hAnsi="新細明體" w:cs="新細明體"/>
                <w:b/>
                <w:color w:val="00000A"/>
                <w:sz w:val="20"/>
                <w:szCs w:val="20"/>
              </w:rPr>
              <w:t>判斷</w:t>
            </w:r>
            <w:r>
              <w:rPr>
                <w:rFonts w:ascii="Kinnari" w:eastAsia="Kinnari" w:hAnsi="Kinnari" w:cs="Kinnari"/>
                <w:b/>
                <w:color w:val="00000A"/>
                <w:sz w:val="20"/>
                <w:szCs w:val="20"/>
              </w:rPr>
              <w:t>準則</w:t>
            </w:r>
          </w:p>
        </w:tc>
      </w:tr>
      <w:tr w:rsidR="002A1C85" w14:paraId="1472A939" w14:textId="77777777">
        <w:trPr>
          <w:trHeight w:val="140"/>
        </w:trPr>
        <w:tc>
          <w:tcPr>
            <w:tcW w:w="1520" w:type="dxa"/>
            <w:tcBorders>
              <w:top w:val="single" w:sz="4" w:space="0" w:color="00000A"/>
              <w:left w:val="nil"/>
              <w:bottom w:val="nil"/>
              <w:right w:val="nil"/>
            </w:tcBorders>
          </w:tcPr>
          <w:p w14:paraId="3F2E67AA"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極低</w:t>
            </w:r>
          </w:p>
        </w:tc>
        <w:tc>
          <w:tcPr>
            <w:tcW w:w="1330" w:type="dxa"/>
            <w:tcBorders>
              <w:top w:val="single" w:sz="4" w:space="0" w:color="00000A"/>
              <w:left w:val="nil"/>
              <w:bottom w:val="nil"/>
              <w:right w:val="nil"/>
            </w:tcBorders>
          </w:tcPr>
          <w:p w14:paraId="724BC4AA"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0</w:t>
            </w:r>
          </w:p>
        </w:tc>
        <w:tc>
          <w:tcPr>
            <w:tcW w:w="3114" w:type="dxa"/>
            <w:tcBorders>
              <w:top w:val="single" w:sz="4" w:space="0" w:color="00000A"/>
              <w:left w:val="nil"/>
              <w:bottom w:val="nil"/>
              <w:right w:val="nil"/>
            </w:tcBorders>
          </w:tcPr>
          <w:p w14:paraId="5FC49AC7"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此威脅無任何有效的解決方式</w:t>
            </w:r>
          </w:p>
        </w:tc>
      </w:tr>
      <w:tr w:rsidR="002A1C85" w14:paraId="49C39911" w14:textId="77777777">
        <w:trPr>
          <w:trHeight w:val="60"/>
        </w:trPr>
        <w:tc>
          <w:tcPr>
            <w:tcW w:w="1520" w:type="dxa"/>
            <w:tcBorders>
              <w:top w:val="nil"/>
              <w:left w:val="nil"/>
              <w:bottom w:val="nil"/>
              <w:right w:val="nil"/>
            </w:tcBorders>
          </w:tcPr>
          <w:p w14:paraId="0DD2BCE3"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低</w:t>
            </w:r>
          </w:p>
        </w:tc>
        <w:tc>
          <w:tcPr>
            <w:tcW w:w="1330" w:type="dxa"/>
            <w:tcBorders>
              <w:top w:val="nil"/>
              <w:left w:val="nil"/>
              <w:bottom w:val="nil"/>
              <w:right w:val="nil"/>
            </w:tcBorders>
          </w:tcPr>
          <w:p w14:paraId="68A50763"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30</w:t>
            </w:r>
          </w:p>
        </w:tc>
        <w:tc>
          <w:tcPr>
            <w:tcW w:w="3114" w:type="dxa"/>
            <w:tcBorders>
              <w:top w:val="nil"/>
              <w:left w:val="nil"/>
              <w:bottom w:val="nil"/>
              <w:right w:val="nil"/>
            </w:tcBorders>
          </w:tcPr>
          <w:p w14:paraId="1E194047"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相關例子顯示成功率偏低</w:t>
            </w:r>
          </w:p>
        </w:tc>
      </w:tr>
      <w:tr w:rsidR="002A1C85" w14:paraId="2D16A1C2" w14:textId="77777777">
        <w:trPr>
          <w:trHeight w:val="60"/>
        </w:trPr>
        <w:tc>
          <w:tcPr>
            <w:tcW w:w="1520" w:type="dxa"/>
            <w:tcBorders>
              <w:top w:val="nil"/>
              <w:left w:val="nil"/>
              <w:bottom w:val="nil"/>
              <w:right w:val="nil"/>
            </w:tcBorders>
          </w:tcPr>
          <w:p w14:paraId="6FD400A2"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普通</w:t>
            </w:r>
          </w:p>
        </w:tc>
        <w:tc>
          <w:tcPr>
            <w:tcW w:w="1330" w:type="dxa"/>
            <w:tcBorders>
              <w:top w:val="nil"/>
              <w:left w:val="nil"/>
              <w:bottom w:val="nil"/>
              <w:right w:val="nil"/>
            </w:tcBorders>
          </w:tcPr>
          <w:p w14:paraId="3329306D"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60</w:t>
            </w:r>
          </w:p>
        </w:tc>
        <w:tc>
          <w:tcPr>
            <w:tcW w:w="3114" w:type="dxa"/>
            <w:tcBorders>
              <w:top w:val="nil"/>
              <w:left w:val="nil"/>
              <w:bottom w:val="nil"/>
              <w:right w:val="nil"/>
            </w:tcBorders>
          </w:tcPr>
          <w:p w14:paraId="4E339CE3"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相關例子顯示成功率普通</w:t>
            </w:r>
          </w:p>
        </w:tc>
      </w:tr>
      <w:tr w:rsidR="002A1C85" w14:paraId="5CC7ECF2" w14:textId="77777777">
        <w:trPr>
          <w:trHeight w:val="60"/>
        </w:trPr>
        <w:tc>
          <w:tcPr>
            <w:tcW w:w="1520" w:type="dxa"/>
            <w:tcBorders>
              <w:top w:val="nil"/>
              <w:left w:val="nil"/>
              <w:bottom w:val="nil"/>
              <w:right w:val="nil"/>
            </w:tcBorders>
          </w:tcPr>
          <w:p w14:paraId="58485B87"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高</w:t>
            </w:r>
          </w:p>
        </w:tc>
        <w:tc>
          <w:tcPr>
            <w:tcW w:w="1330" w:type="dxa"/>
            <w:tcBorders>
              <w:top w:val="nil"/>
              <w:left w:val="nil"/>
              <w:bottom w:val="nil"/>
              <w:right w:val="nil"/>
            </w:tcBorders>
          </w:tcPr>
          <w:p w14:paraId="6AEC31E4"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80</w:t>
            </w:r>
          </w:p>
        </w:tc>
        <w:tc>
          <w:tcPr>
            <w:tcW w:w="3114" w:type="dxa"/>
            <w:tcBorders>
              <w:top w:val="nil"/>
              <w:left w:val="nil"/>
              <w:bottom w:val="nil"/>
              <w:right w:val="nil"/>
            </w:tcBorders>
          </w:tcPr>
          <w:p w14:paraId="0242EE98"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相關例子顯示成功率很高</w:t>
            </w:r>
          </w:p>
        </w:tc>
      </w:tr>
      <w:tr w:rsidR="002A1C85" w14:paraId="63B419BE" w14:textId="77777777">
        <w:trPr>
          <w:trHeight w:val="60"/>
        </w:trPr>
        <w:tc>
          <w:tcPr>
            <w:tcW w:w="1520" w:type="dxa"/>
            <w:tcBorders>
              <w:top w:val="nil"/>
              <w:left w:val="nil"/>
              <w:bottom w:val="single" w:sz="4" w:space="0" w:color="00000A"/>
              <w:right w:val="nil"/>
            </w:tcBorders>
          </w:tcPr>
          <w:p w14:paraId="7CD9F4CD"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極高</w:t>
            </w:r>
          </w:p>
        </w:tc>
        <w:tc>
          <w:tcPr>
            <w:tcW w:w="1330" w:type="dxa"/>
            <w:tcBorders>
              <w:top w:val="nil"/>
              <w:left w:val="nil"/>
              <w:bottom w:val="single" w:sz="4" w:space="0" w:color="00000A"/>
              <w:right w:val="nil"/>
            </w:tcBorders>
          </w:tcPr>
          <w:p w14:paraId="50915B1A"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100</w:t>
            </w:r>
          </w:p>
        </w:tc>
        <w:tc>
          <w:tcPr>
            <w:tcW w:w="3114" w:type="dxa"/>
            <w:tcBorders>
              <w:top w:val="nil"/>
              <w:left w:val="nil"/>
              <w:bottom w:val="single" w:sz="4" w:space="0" w:color="00000A"/>
              <w:right w:val="nil"/>
            </w:tcBorders>
          </w:tcPr>
          <w:p w14:paraId="7360CD62"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已實際進行過前期試驗，效果明顯</w:t>
            </w:r>
          </w:p>
        </w:tc>
      </w:tr>
    </w:tbl>
    <w:p w14:paraId="0F4C72A8" w14:textId="77777777" w:rsidR="002A1C85" w:rsidRDefault="002A1C85">
      <w:pPr>
        <w:pStyle w:val="10"/>
        <w:widowControl w:val="0"/>
        <w:spacing w:line="360" w:lineRule="auto"/>
        <w:jc w:val="both"/>
        <w:rPr>
          <w:rFonts w:ascii="Kinnari" w:eastAsia="Kinnari" w:hAnsi="Kinnari" w:cs="Kinnari"/>
          <w:color w:val="00000A"/>
          <w:sz w:val="24"/>
          <w:szCs w:val="24"/>
        </w:rPr>
      </w:pPr>
    </w:p>
    <w:p w14:paraId="02D74857"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對物種i:  </w:t>
      </w:r>
    </w:p>
    <w:p w14:paraId="17FED2A7" w14:textId="77777777" w:rsidR="002A1C85" w:rsidRPr="00FF0532" w:rsidRDefault="001217C9" w:rsidP="00FF0532">
      <w:pPr>
        <w:pStyle w:val="10"/>
        <w:widowControl w:val="0"/>
        <w:spacing w:line="360" w:lineRule="auto"/>
        <w:jc w:val="both"/>
        <w:rPr>
          <w:rFonts w:ascii="Kinnari" w:hAnsi="Kinnari" w:cs="Kinnari"/>
          <w:color w:val="00000A"/>
          <w:sz w:val="24"/>
          <w:szCs w:val="24"/>
        </w:rPr>
      </w:pPr>
      <w:r>
        <w:rPr>
          <w:noProof/>
        </w:rPr>
        <w:drawing>
          <wp:inline distT="0" distB="0" distL="114300" distR="114300" wp14:anchorId="6612F696" wp14:editId="008AB4BC">
            <wp:extent cx="2038350" cy="457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srcRect/>
                    <a:stretch>
                      <a:fillRect/>
                    </a:stretch>
                  </pic:blipFill>
                  <pic:spPr>
                    <a:xfrm>
                      <a:off x="0" y="0"/>
                      <a:ext cx="2038350" cy="457200"/>
                    </a:xfrm>
                    <a:prstGeom prst="rect">
                      <a:avLst/>
                    </a:prstGeom>
                    <a:ln/>
                  </pic:spPr>
                </pic:pic>
              </a:graphicData>
            </a:graphic>
          </wp:inline>
        </w:drawing>
      </w:r>
      <w:r w:rsidR="00D03047">
        <w:rPr>
          <w:rFonts w:ascii="Kinnari" w:hAnsi="Kinnari" w:cs="Kinnari" w:hint="eastAsia"/>
          <w:color w:val="00000A"/>
          <w:sz w:val="24"/>
          <w:szCs w:val="24"/>
        </w:rPr>
        <w:t>………</w:t>
      </w:r>
      <w:r w:rsidR="00D03047">
        <w:rPr>
          <w:rFonts w:ascii="Kinnari" w:hAnsi="Kinnari" w:cs="Kinnari" w:hint="eastAsia"/>
          <w:color w:val="00000A"/>
          <w:sz w:val="24"/>
          <w:szCs w:val="24"/>
        </w:rPr>
        <w:t>..</w:t>
      </w:r>
      <w:r w:rsidR="00D03047">
        <w:rPr>
          <w:rFonts w:ascii="Kinnari" w:hAnsi="Kinnari" w:cs="Kinnari" w:hint="eastAsia"/>
          <w:color w:val="00000A"/>
          <w:sz w:val="24"/>
          <w:szCs w:val="24"/>
        </w:rPr>
        <w:t>公式</w:t>
      </w:r>
      <w:r w:rsidR="00D03047">
        <w:rPr>
          <w:rFonts w:ascii="Kinnari" w:hAnsi="Kinnari" w:cs="Kinnari" w:hint="eastAsia"/>
          <w:color w:val="00000A"/>
          <w:sz w:val="24"/>
          <w:szCs w:val="24"/>
        </w:rPr>
        <w:t>(3)</w:t>
      </w:r>
    </w:p>
    <w:p w14:paraId="25E4081F" w14:textId="77777777" w:rsidR="002A1C85" w:rsidRDefault="002A1C85">
      <w:pPr>
        <w:pStyle w:val="10"/>
        <w:widowControl w:val="0"/>
        <w:spacing w:line="360" w:lineRule="auto"/>
        <w:jc w:val="both"/>
        <w:rPr>
          <w:rFonts w:ascii="Kinnari" w:eastAsia="Kinnari" w:hAnsi="Kinnari" w:cs="Kinnari"/>
          <w:color w:val="00000A"/>
          <w:sz w:val="24"/>
          <w:szCs w:val="24"/>
        </w:rPr>
      </w:pPr>
    </w:p>
    <w:p w14:paraId="38184143"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例如，假設A物種的受脅因</w:t>
      </w:r>
      <w:r w:rsidR="00D03047">
        <w:rPr>
          <w:rFonts w:ascii="Kinnari" w:eastAsia="Kinnari" w:hAnsi="Kinnari" w:cs="Kinnari"/>
          <w:color w:val="00000A"/>
          <w:sz w:val="24"/>
          <w:szCs w:val="24"/>
        </w:rPr>
        <w:t>子包含</w:t>
      </w:r>
      <w:r>
        <w:rPr>
          <w:rFonts w:ascii="Kinnari" w:eastAsia="Kinnari" w:hAnsi="Kinnari" w:cs="Kinnari"/>
          <w:color w:val="00000A"/>
          <w:sz w:val="24"/>
          <w:szCs w:val="24"/>
        </w:rPr>
        <w:t>棲地破碎化、及外來種入侵，而專家提出的最佳方案(1)建立生態廊道、(2)阻隔外來種入侵途徑，以確保未被入侵的棲地免於威脅、(3)降低入侵種的影響，</w:t>
      </w:r>
      <w:r w:rsidR="00D03047">
        <w:rPr>
          <w:rFonts w:ascii="Kinnari" w:eastAsia="Kinnari" w:hAnsi="Kinnari" w:cs="Kinnari"/>
          <w:color w:val="00000A"/>
          <w:sz w:val="24"/>
          <w:szCs w:val="24"/>
        </w:rPr>
        <w:t>其</w:t>
      </w:r>
      <w:r w:rsidR="00D03047">
        <w:rPr>
          <w:rFonts w:ascii="Kinnari" w:hAnsi="Kinnari" w:cs="Kinnari" w:hint="eastAsia"/>
          <w:color w:val="00000A"/>
          <w:sz w:val="24"/>
          <w:szCs w:val="24"/>
        </w:rPr>
        <w:t>個</w:t>
      </w:r>
      <w:r>
        <w:rPr>
          <w:rFonts w:ascii="Kinnari" w:eastAsia="Kinnari" w:hAnsi="Kinnari" w:cs="Kinnari"/>
          <w:color w:val="00000A"/>
          <w:sz w:val="24"/>
          <w:szCs w:val="24"/>
        </w:rPr>
        <w:t>別可行性</w:t>
      </w:r>
      <w:r w:rsidR="00D03047">
        <w:rPr>
          <w:rFonts w:ascii="Kinnari" w:eastAsia="Kinnari" w:hAnsi="Kinnari" w:cs="Kinnari"/>
          <w:color w:val="00000A"/>
          <w:sz w:val="24"/>
          <w:szCs w:val="24"/>
        </w:rPr>
        <w:t>經估計為</w:t>
      </w:r>
      <w:r>
        <w:rPr>
          <w:rFonts w:ascii="Kinnari" w:eastAsia="Kinnari" w:hAnsi="Kinnari" w:cs="Kinnari"/>
          <w:color w:val="00000A"/>
          <w:sz w:val="24"/>
          <w:szCs w:val="24"/>
        </w:rPr>
        <w:t>為100%、80%、60%</w:t>
      </w:r>
      <w:r w:rsidR="00D03047">
        <w:rPr>
          <w:rFonts w:ascii="Kinnari" w:hAnsi="Kinnari" w:cs="Kinnari" w:hint="eastAsia"/>
          <w:color w:val="00000A"/>
          <w:sz w:val="24"/>
          <w:szCs w:val="24"/>
        </w:rPr>
        <w:t>，則</w:t>
      </w:r>
      <w:r>
        <w:rPr>
          <w:rFonts w:ascii="Kinnari" w:eastAsia="Kinnari" w:hAnsi="Kinnari" w:cs="Kinnari"/>
          <w:color w:val="00000A"/>
          <w:sz w:val="24"/>
          <w:szCs w:val="24"/>
        </w:rPr>
        <w:t>物種A的</w:t>
      </w:r>
      <w:r w:rsidR="00D03047">
        <w:rPr>
          <w:rFonts w:ascii="Kinnari" w:eastAsia="Kinnari" w:hAnsi="Kinnari" w:cs="Kinnari"/>
          <w:color w:val="00000A"/>
          <w:sz w:val="24"/>
          <w:szCs w:val="24"/>
        </w:rPr>
        <w:t>減緩</w:t>
      </w:r>
      <w:r>
        <w:rPr>
          <w:rFonts w:ascii="Kinnari" w:eastAsia="Kinnari" w:hAnsi="Kinnari" w:cs="Kinnari"/>
          <w:color w:val="00000A"/>
          <w:sz w:val="24"/>
          <w:szCs w:val="24"/>
        </w:rPr>
        <w:t>受脅因子可行性即為100%×80%×60% = 48%。</w:t>
      </w:r>
    </w:p>
    <w:p w14:paraId="158C836E" w14:textId="77777777" w:rsidR="002A1C85" w:rsidRDefault="002A1C85">
      <w:pPr>
        <w:pStyle w:val="10"/>
        <w:widowControl w:val="0"/>
        <w:spacing w:line="360" w:lineRule="auto"/>
        <w:jc w:val="both"/>
        <w:rPr>
          <w:rFonts w:ascii="Kinnari" w:eastAsia="Kinnari" w:hAnsi="Kinnari" w:cs="Kinnari"/>
          <w:color w:val="00000A"/>
          <w:sz w:val="24"/>
          <w:szCs w:val="24"/>
        </w:rPr>
      </w:pPr>
    </w:p>
    <w:p w14:paraId="4A9ACF81"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生殖潛力評估</w:t>
      </w:r>
    </w:p>
    <w:p w14:paraId="301758B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一般而言，世代長度較短、繁殖量較大的物種，</w:t>
      </w:r>
      <w:r w:rsidR="00282659">
        <w:rPr>
          <w:rFonts w:ascii="Kinnari" w:eastAsia="Kinnari" w:hAnsi="Kinnari" w:cs="Kinnari"/>
          <w:color w:val="00000A"/>
          <w:sz w:val="24"/>
          <w:szCs w:val="24"/>
        </w:rPr>
        <w:t>在受脅因子減緩之後，</w:t>
      </w:r>
      <w:r>
        <w:rPr>
          <w:rFonts w:ascii="Kinnari" w:eastAsia="Kinnari" w:hAnsi="Kinnari" w:cs="Kinnari"/>
          <w:color w:val="00000A"/>
          <w:sz w:val="24"/>
          <w:szCs w:val="24"/>
        </w:rPr>
        <w:t>族群</w:t>
      </w:r>
      <w:r w:rsidR="00282659">
        <w:rPr>
          <w:rFonts w:ascii="Kinnari" w:eastAsia="Kinnari" w:hAnsi="Kinnari" w:cs="Kinnari"/>
          <w:color w:val="00000A"/>
          <w:sz w:val="24"/>
          <w:szCs w:val="24"/>
        </w:rPr>
        <w:t>可以在較短時間內</w:t>
      </w:r>
      <w:r>
        <w:rPr>
          <w:rFonts w:ascii="Kinnari" w:eastAsia="Kinnari" w:hAnsi="Kinnari" w:cs="Kinnari"/>
          <w:color w:val="00000A"/>
          <w:sz w:val="24"/>
          <w:szCs w:val="24"/>
        </w:rPr>
        <w:t>恢復。而已建立人工繁殖技術的物種，也</w:t>
      </w:r>
      <w:r w:rsidR="00282659">
        <w:rPr>
          <w:rFonts w:ascii="Kinnari" w:hAnsi="Kinnari" w:cs="Kinnari" w:hint="eastAsia"/>
          <w:color w:val="00000A"/>
          <w:sz w:val="24"/>
          <w:szCs w:val="24"/>
        </w:rPr>
        <w:t>可</w:t>
      </w:r>
      <w:r>
        <w:rPr>
          <w:rFonts w:ascii="Kinnari" w:eastAsia="Kinnari" w:hAnsi="Kinnari" w:cs="Kinnari"/>
          <w:color w:val="00000A"/>
          <w:sz w:val="24"/>
          <w:szCs w:val="24"/>
        </w:rPr>
        <w:t>藉由野放人工繁殖個體加快族群恢復</w:t>
      </w:r>
      <w:r w:rsidR="00282659">
        <w:rPr>
          <w:rFonts w:ascii="Kinnari" w:eastAsia="Kinnari" w:hAnsi="Kinnari" w:cs="Kinnari"/>
          <w:color w:val="00000A"/>
          <w:sz w:val="24"/>
          <w:szCs w:val="24"/>
        </w:rPr>
        <w:t>的速度</w:t>
      </w:r>
      <w:r>
        <w:rPr>
          <w:rFonts w:ascii="Kinnari" w:eastAsia="Kinnari" w:hAnsi="Kinnari" w:cs="Kinnari"/>
          <w:color w:val="00000A"/>
          <w:sz w:val="24"/>
          <w:szCs w:val="24"/>
        </w:rPr>
        <w:t>。</w:t>
      </w:r>
      <w:r w:rsidR="00282659">
        <w:rPr>
          <w:rFonts w:ascii="Kinnari" w:eastAsia="Kinnari" w:hAnsi="Kinnari" w:cs="Kinnari"/>
          <w:color w:val="00000A"/>
          <w:sz w:val="24"/>
          <w:szCs w:val="24"/>
        </w:rPr>
        <w:t>生殖潛力</w:t>
      </w:r>
      <w:r w:rsidR="00282659">
        <w:rPr>
          <w:rFonts w:ascii="Kinnari" w:hAnsi="Kinnari" w:cs="Kinnari" w:hint="eastAsia"/>
          <w:color w:val="00000A"/>
          <w:sz w:val="24"/>
          <w:szCs w:val="24"/>
        </w:rPr>
        <w:t>(</w:t>
      </w:r>
      <w:r w:rsidR="00282659">
        <w:rPr>
          <w:rFonts w:ascii="Kinnari" w:eastAsia="Kinnari" w:hAnsi="Kinnari" w:cs="Kinnari"/>
          <w:color w:val="00000A"/>
          <w:sz w:val="24"/>
          <w:szCs w:val="24"/>
        </w:rPr>
        <w:t>或生殖能力</w:t>
      </w:r>
      <w:r w:rsidR="00282659">
        <w:rPr>
          <w:rFonts w:ascii="Kinnari" w:hAnsi="Kinnari" w:cs="Kinnari" w:hint="eastAsia"/>
          <w:color w:val="00000A"/>
          <w:sz w:val="24"/>
          <w:szCs w:val="24"/>
        </w:rPr>
        <w:t>)</w:t>
      </w:r>
      <w:r w:rsidR="00282659">
        <w:rPr>
          <w:rFonts w:ascii="Kinnari" w:eastAsia="Kinnari" w:hAnsi="Kinnari" w:cs="Kinnari"/>
          <w:color w:val="00000A"/>
          <w:sz w:val="24"/>
          <w:szCs w:val="24"/>
        </w:rPr>
        <w:t>因此會與保育措施進行後的族群恢復評估有關。</w:t>
      </w:r>
      <w:r>
        <w:rPr>
          <w:rFonts w:ascii="Kinnari" w:eastAsia="Kinnari" w:hAnsi="Kinnari" w:cs="Kinnari"/>
          <w:color w:val="00000A"/>
          <w:sz w:val="24"/>
          <w:szCs w:val="24"/>
        </w:rPr>
        <w:t>因此利用這些特性</w:t>
      </w:r>
      <w:r w:rsidR="00282659">
        <w:rPr>
          <w:rFonts w:ascii="Kinnari" w:eastAsia="Kinnari" w:hAnsi="Kinnari" w:cs="Kinnari"/>
          <w:color w:val="00000A"/>
          <w:sz w:val="24"/>
          <w:szCs w:val="24"/>
        </w:rPr>
        <w:t>可以</w:t>
      </w:r>
      <w:r>
        <w:rPr>
          <w:rFonts w:ascii="Kinnari" w:eastAsia="Kinnari" w:hAnsi="Kinnari" w:cs="Kinnari"/>
          <w:color w:val="00000A"/>
          <w:sz w:val="24"/>
          <w:szCs w:val="24"/>
        </w:rPr>
        <w:t>建立表</w:t>
      </w:r>
      <w:r w:rsidR="00282659">
        <w:rPr>
          <w:rFonts w:ascii="新細明體" w:eastAsia="新細明體" w:hAnsi="新細明體" w:cs="新細明體" w:hint="eastAsia"/>
          <w:color w:val="00000A"/>
          <w:sz w:val="24"/>
          <w:szCs w:val="24"/>
        </w:rPr>
        <w:t>4</w:t>
      </w:r>
      <w:r>
        <w:rPr>
          <w:rFonts w:ascii="Kinnari" w:eastAsia="Kinnari" w:hAnsi="Kinnari" w:cs="Kinnari"/>
          <w:color w:val="00000A"/>
          <w:sz w:val="24"/>
          <w:szCs w:val="24"/>
        </w:rPr>
        <w:t>，進行生殖潛力評估。</w:t>
      </w:r>
    </w:p>
    <w:p w14:paraId="0AB31796" w14:textId="77777777" w:rsidR="002A1C85" w:rsidRDefault="002A1C85">
      <w:pPr>
        <w:pStyle w:val="10"/>
        <w:widowControl w:val="0"/>
        <w:spacing w:line="360" w:lineRule="auto"/>
        <w:jc w:val="both"/>
        <w:rPr>
          <w:rFonts w:ascii="Kinnari" w:eastAsia="Kinnari" w:hAnsi="Kinnari" w:cs="Kinnari"/>
          <w:color w:val="00000A"/>
          <w:sz w:val="24"/>
          <w:szCs w:val="24"/>
        </w:rPr>
      </w:pPr>
    </w:p>
    <w:p w14:paraId="139C8453"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w:t>
      </w:r>
      <w:r w:rsidR="008D14FF">
        <w:rPr>
          <w:rFonts w:ascii="新細明體" w:eastAsia="新細明體" w:hAnsi="新細明體" w:cs="新細明體" w:hint="eastAsia"/>
          <w:color w:val="00000A"/>
          <w:sz w:val="24"/>
          <w:szCs w:val="24"/>
        </w:rPr>
        <w:t>4</w:t>
      </w:r>
      <w:r>
        <w:rPr>
          <w:rFonts w:ascii="Kinnari" w:eastAsia="Kinnari" w:hAnsi="Kinnari" w:cs="Kinnari"/>
          <w:color w:val="00000A"/>
          <w:sz w:val="24"/>
          <w:szCs w:val="24"/>
        </w:rPr>
        <w:t>、生殖潛力評估(參考範例)</w:t>
      </w:r>
    </w:p>
    <w:tbl>
      <w:tblPr>
        <w:tblStyle w:val="a8"/>
        <w:tblW w:w="4060" w:type="dxa"/>
        <w:tblInd w:w="-28" w:type="dxa"/>
        <w:tblLayout w:type="fixed"/>
        <w:tblLook w:val="0000" w:firstRow="0" w:lastRow="0" w:firstColumn="0" w:lastColumn="0" w:noHBand="0" w:noVBand="0"/>
      </w:tblPr>
      <w:tblGrid>
        <w:gridCol w:w="1276"/>
        <w:gridCol w:w="1704"/>
        <w:gridCol w:w="1080"/>
      </w:tblGrid>
      <w:tr w:rsidR="002A1C85" w14:paraId="5E4AA028" w14:textId="77777777">
        <w:trPr>
          <w:trHeight w:val="180"/>
        </w:trPr>
        <w:tc>
          <w:tcPr>
            <w:tcW w:w="1276" w:type="dxa"/>
            <w:tcBorders>
              <w:top w:val="single" w:sz="4" w:space="0" w:color="000000"/>
              <w:bottom w:val="single" w:sz="4" w:space="0" w:color="000000"/>
            </w:tcBorders>
            <w:vAlign w:val="center"/>
          </w:tcPr>
          <w:p w14:paraId="768D2BC8" w14:textId="77777777" w:rsidR="002A1C85" w:rsidRDefault="001217C9">
            <w:pPr>
              <w:pStyle w:val="10"/>
              <w:spacing w:line="240" w:lineRule="auto"/>
              <w:jc w:val="both"/>
              <w:rPr>
                <w:rFonts w:ascii="新細明體" w:eastAsia="新細明體" w:hAnsi="新細明體" w:cs="新細明體"/>
                <w:color w:val="00000A"/>
                <w:sz w:val="20"/>
                <w:szCs w:val="20"/>
              </w:rPr>
            </w:pPr>
            <w:r>
              <w:rPr>
                <w:rFonts w:ascii="Calibri" w:eastAsia="Calibri" w:hAnsi="Calibri" w:cs="Calibri"/>
                <w:color w:val="00000A"/>
                <w:sz w:val="20"/>
                <w:szCs w:val="20"/>
              </w:rPr>
              <w:t>指標*</w:t>
            </w:r>
          </w:p>
        </w:tc>
        <w:tc>
          <w:tcPr>
            <w:tcW w:w="1704" w:type="dxa"/>
            <w:tcBorders>
              <w:top w:val="single" w:sz="4" w:space="0" w:color="000000"/>
              <w:bottom w:val="single" w:sz="4" w:space="0" w:color="000000"/>
            </w:tcBorders>
            <w:vAlign w:val="center"/>
          </w:tcPr>
          <w:p w14:paraId="20D58A60"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說明</w:t>
            </w:r>
          </w:p>
        </w:tc>
        <w:tc>
          <w:tcPr>
            <w:tcW w:w="1080" w:type="dxa"/>
            <w:tcBorders>
              <w:top w:val="single" w:sz="4" w:space="0" w:color="000000"/>
              <w:bottom w:val="single" w:sz="4" w:space="0" w:color="000000"/>
            </w:tcBorders>
            <w:vAlign w:val="center"/>
          </w:tcPr>
          <w:p w14:paraId="3B2A3BF3" w14:textId="77777777" w:rsidR="002A1C85" w:rsidRDefault="001217C9">
            <w:pPr>
              <w:pStyle w:val="10"/>
              <w:widowControl w:val="0"/>
              <w:spacing w:line="360" w:lineRule="auto"/>
              <w:jc w:val="right"/>
              <w:rPr>
                <w:rFonts w:ascii="Calibri" w:eastAsia="Calibri" w:hAnsi="Calibri" w:cs="Calibri"/>
                <w:color w:val="00000A"/>
                <w:sz w:val="20"/>
                <w:szCs w:val="20"/>
              </w:rPr>
            </w:pPr>
            <w:r>
              <w:rPr>
                <w:rFonts w:ascii="Calibri" w:eastAsia="Calibri" w:hAnsi="Calibri" w:cs="Calibri"/>
                <w:color w:val="00000A"/>
                <w:sz w:val="20"/>
                <w:szCs w:val="20"/>
              </w:rPr>
              <w:t>分數</w:t>
            </w:r>
          </w:p>
        </w:tc>
      </w:tr>
      <w:tr w:rsidR="002A1C85" w14:paraId="5F2CC3D5" w14:textId="77777777">
        <w:trPr>
          <w:trHeight w:val="240"/>
        </w:trPr>
        <w:tc>
          <w:tcPr>
            <w:tcW w:w="1276" w:type="dxa"/>
            <w:tcBorders>
              <w:top w:val="single" w:sz="4" w:space="0" w:color="000000"/>
            </w:tcBorders>
            <w:vAlign w:val="center"/>
          </w:tcPr>
          <w:p w14:paraId="6FEF184A"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 xml:space="preserve">育種技術  </w:t>
            </w:r>
          </w:p>
        </w:tc>
        <w:tc>
          <w:tcPr>
            <w:tcW w:w="1704" w:type="dxa"/>
            <w:tcBorders>
              <w:top w:val="single" w:sz="4" w:space="0" w:color="000000"/>
            </w:tcBorders>
            <w:vAlign w:val="center"/>
          </w:tcPr>
          <w:p w14:paraId="4283AF17" w14:textId="77777777" w:rsidR="002A1C85" w:rsidRDefault="001217C9">
            <w:pPr>
              <w:pStyle w:val="10"/>
              <w:widowControl w:val="0"/>
              <w:spacing w:line="360" w:lineRule="auto"/>
              <w:jc w:val="both"/>
              <w:rPr>
                <w:rFonts w:ascii="Calibri" w:eastAsia="Calibri" w:hAnsi="Calibri" w:cs="Calibri"/>
                <w:color w:val="00000A"/>
                <w:sz w:val="16"/>
                <w:szCs w:val="16"/>
              </w:rPr>
            </w:pPr>
            <w:commentRangeStart w:id="52"/>
            <w:r>
              <w:rPr>
                <w:rFonts w:ascii="Calibri" w:eastAsia="Calibri" w:hAnsi="Calibri" w:cs="Calibri"/>
                <w:color w:val="00000A"/>
                <w:sz w:val="16"/>
                <w:szCs w:val="16"/>
              </w:rPr>
              <w:t>已建立人工繁殖技術</w:t>
            </w:r>
            <w:commentRangeEnd w:id="52"/>
            <w:r w:rsidR="00282659">
              <w:rPr>
                <w:rStyle w:val="ad"/>
              </w:rPr>
              <w:commentReference w:id="52"/>
            </w:r>
          </w:p>
        </w:tc>
        <w:tc>
          <w:tcPr>
            <w:tcW w:w="1080" w:type="dxa"/>
            <w:tcBorders>
              <w:top w:val="single" w:sz="4" w:space="0" w:color="000000"/>
            </w:tcBorders>
            <w:vAlign w:val="center"/>
          </w:tcPr>
          <w:p w14:paraId="50E0E7E3"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15C59F72" w14:textId="77777777">
        <w:trPr>
          <w:trHeight w:val="240"/>
        </w:trPr>
        <w:tc>
          <w:tcPr>
            <w:tcW w:w="1276" w:type="dxa"/>
            <w:vAlign w:val="center"/>
          </w:tcPr>
          <w:p w14:paraId="5361B073" w14:textId="77777777" w:rsidR="002A1C85" w:rsidRDefault="002A1C85">
            <w:pPr>
              <w:pStyle w:val="10"/>
              <w:widowControl w:val="0"/>
              <w:spacing w:line="360" w:lineRule="auto"/>
              <w:jc w:val="right"/>
              <w:rPr>
                <w:rFonts w:ascii="Calibri" w:eastAsia="Calibri" w:hAnsi="Calibri" w:cs="Calibri"/>
                <w:color w:val="00000A"/>
                <w:sz w:val="20"/>
                <w:szCs w:val="20"/>
              </w:rPr>
            </w:pPr>
          </w:p>
        </w:tc>
        <w:tc>
          <w:tcPr>
            <w:tcW w:w="1704" w:type="dxa"/>
            <w:vAlign w:val="center"/>
          </w:tcPr>
          <w:p w14:paraId="65BAFF18"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Calibri" w:eastAsia="Calibri" w:hAnsi="Calibri" w:cs="Calibri"/>
                <w:color w:val="00000A"/>
                <w:sz w:val="16"/>
                <w:szCs w:val="16"/>
              </w:rPr>
              <w:t>尚未建立人工繁殖技術</w:t>
            </w:r>
          </w:p>
        </w:tc>
        <w:tc>
          <w:tcPr>
            <w:tcW w:w="1080" w:type="dxa"/>
            <w:vAlign w:val="center"/>
          </w:tcPr>
          <w:p w14:paraId="51D93B52"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r w:rsidR="002A1C85" w14:paraId="0EAFA751" w14:textId="77777777">
        <w:trPr>
          <w:trHeight w:val="240"/>
        </w:trPr>
        <w:tc>
          <w:tcPr>
            <w:tcW w:w="1276" w:type="dxa"/>
            <w:vAlign w:val="center"/>
          </w:tcPr>
          <w:p w14:paraId="5982860B"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生殖頻度</w:t>
            </w:r>
          </w:p>
        </w:tc>
        <w:tc>
          <w:tcPr>
            <w:tcW w:w="1704" w:type="dxa"/>
            <w:vAlign w:val="center"/>
          </w:tcPr>
          <w:p w14:paraId="7F5D4595"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高</w:t>
            </w:r>
          </w:p>
        </w:tc>
        <w:tc>
          <w:tcPr>
            <w:tcW w:w="1080" w:type="dxa"/>
            <w:vAlign w:val="center"/>
          </w:tcPr>
          <w:p w14:paraId="3843736B"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18AB2A7B" w14:textId="77777777">
        <w:trPr>
          <w:trHeight w:val="240"/>
        </w:trPr>
        <w:tc>
          <w:tcPr>
            <w:tcW w:w="1276" w:type="dxa"/>
            <w:vAlign w:val="center"/>
          </w:tcPr>
          <w:p w14:paraId="03B280EE" w14:textId="77777777" w:rsidR="002A1C85" w:rsidRDefault="002A1C85">
            <w:pPr>
              <w:pStyle w:val="10"/>
              <w:widowControl w:val="0"/>
              <w:spacing w:line="360" w:lineRule="auto"/>
              <w:jc w:val="right"/>
              <w:rPr>
                <w:rFonts w:ascii="Calibri" w:eastAsia="Calibri" w:hAnsi="Calibri" w:cs="Calibri"/>
                <w:color w:val="00000A"/>
                <w:sz w:val="20"/>
                <w:szCs w:val="20"/>
              </w:rPr>
            </w:pPr>
          </w:p>
        </w:tc>
        <w:tc>
          <w:tcPr>
            <w:tcW w:w="1704" w:type="dxa"/>
            <w:vAlign w:val="center"/>
          </w:tcPr>
          <w:p w14:paraId="7208EE45"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Calibri" w:eastAsia="Calibri" w:hAnsi="Calibri" w:cs="Calibri"/>
                <w:color w:val="00000A"/>
                <w:sz w:val="16"/>
                <w:szCs w:val="16"/>
              </w:rPr>
              <w:t>低</w:t>
            </w:r>
          </w:p>
        </w:tc>
        <w:tc>
          <w:tcPr>
            <w:tcW w:w="1080" w:type="dxa"/>
            <w:vAlign w:val="center"/>
          </w:tcPr>
          <w:p w14:paraId="5BA9B5AA"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r w:rsidR="002A1C85" w14:paraId="60623639" w14:textId="77777777">
        <w:trPr>
          <w:trHeight w:val="240"/>
        </w:trPr>
        <w:tc>
          <w:tcPr>
            <w:tcW w:w="1276" w:type="dxa"/>
            <w:vAlign w:val="center"/>
          </w:tcPr>
          <w:p w14:paraId="79895D7D"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世代長度</w:t>
            </w:r>
          </w:p>
        </w:tc>
        <w:tc>
          <w:tcPr>
            <w:tcW w:w="1704" w:type="dxa"/>
            <w:vAlign w:val="center"/>
          </w:tcPr>
          <w:p w14:paraId="25D47614"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 xml:space="preserve">短 </w:t>
            </w:r>
          </w:p>
        </w:tc>
        <w:tc>
          <w:tcPr>
            <w:tcW w:w="1080" w:type="dxa"/>
            <w:vAlign w:val="center"/>
          </w:tcPr>
          <w:p w14:paraId="62C2A5DF"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0D913086" w14:textId="77777777">
        <w:trPr>
          <w:trHeight w:val="240"/>
        </w:trPr>
        <w:tc>
          <w:tcPr>
            <w:tcW w:w="1276" w:type="dxa"/>
            <w:vAlign w:val="center"/>
          </w:tcPr>
          <w:p w14:paraId="32C71D39" w14:textId="77777777" w:rsidR="002A1C85" w:rsidRDefault="002A1C85">
            <w:pPr>
              <w:pStyle w:val="10"/>
              <w:widowControl w:val="0"/>
              <w:spacing w:line="360" w:lineRule="auto"/>
              <w:jc w:val="right"/>
              <w:rPr>
                <w:rFonts w:ascii="Calibri" w:eastAsia="Calibri" w:hAnsi="Calibri" w:cs="Calibri"/>
                <w:color w:val="00000A"/>
                <w:sz w:val="20"/>
                <w:szCs w:val="20"/>
              </w:rPr>
            </w:pPr>
          </w:p>
        </w:tc>
        <w:tc>
          <w:tcPr>
            <w:tcW w:w="1704" w:type="dxa"/>
            <w:vAlign w:val="center"/>
          </w:tcPr>
          <w:p w14:paraId="1BB8D87E"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Calibri" w:eastAsia="Calibri" w:hAnsi="Calibri" w:cs="Calibri"/>
                <w:color w:val="00000A"/>
                <w:sz w:val="16"/>
                <w:szCs w:val="16"/>
              </w:rPr>
              <w:t>長</w:t>
            </w:r>
          </w:p>
        </w:tc>
        <w:tc>
          <w:tcPr>
            <w:tcW w:w="1080" w:type="dxa"/>
            <w:vAlign w:val="center"/>
          </w:tcPr>
          <w:p w14:paraId="1D5629E0"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r w:rsidR="002A1C85" w14:paraId="01D90F98" w14:textId="77777777">
        <w:trPr>
          <w:trHeight w:val="240"/>
        </w:trPr>
        <w:tc>
          <w:tcPr>
            <w:tcW w:w="1276" w:type="dxa"/>
            <w:vAlign w:val="center"/>
          </w:tcPr>
          <w:p w14:paraId="15FF365C"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單次繁殖數量</w:t>
            </w:r>
          </w:p>
        </w:tc>
        <w:tc>
          <w:tcPr>
            <w:tcW w:w="1704" w:type="dxa"/>
            <w:vAlign w:val="center"/>
          </w:tcPr>
          <w:p w14:paraId="7AD52B4E"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多</w:t>
            </w:r>
          </w:p>
        </w:tc>
        <w:tc>
          <w:tcPr>
            <w:tcW w:w="1080" w:type="dxa"/>
            <w:vAlign w:val="center"/>
          </w:tcPr>
          <w:p w14:paraId="5EEB3EE7"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66CF3A32" w14:textId="77777777">
        <w:trPr>
          <w:trHeight w:val="240"/>
        </w:trPr>
        <w:tc>
          <w:tcPr>
            <w:tcW w:w="1276" w:type="dxa"/>
            <w:tcBorders>
              <w:bottom w:val="single" w:sz="4" w:space="0" w:color="000000"/>
            </w:tcBorders>
            <w:vAlign w:val="center"/>
          </w:tcPr>
          <w:p w14:paraId="7F37EE5E"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 xml:space="preserve">　</w:t>
            </w:r>
          </w:p>
        </w:tc>
        <w:tc>
          <w:tcPr>
            <w:tcW w:w="1704" w:type="dxa"/>
            <w:tcBorders>
              <w:bottom w:val="single" w:sz="4" w:space="0" w:color="000000"/>
            </w:tcBorders>
            <w:vAlign w:val="center"/>
          </w:tcPr>
          <w:p w14:paraId="1FC0762D"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少</w:t>
            </w:r>
          </w:p>
        </w:tc>
        <w:tc>
          <w:tcPr>
            <w:tcW w:w="1080" w:type="dxa"/>
            <w:tcBorders>
              <w:bottom w:val="single" w:sz="4" w:space="0" w:color="000000"/>
            </w:tcBorders>
            <w:vAlign w:val="center"/>
          </w:tcPr>
          <w:p w14:paraId="358267A7"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bl>
    <w:p w14:paraId="36F889C6"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w:t>
      </w:r>
      <w:commentRangeStart w:id="53"/>
      <w:r>
        <w:rPr>
          <w:rFonts w:ascii="Kinnari" w:eastAsia="Kinnari" w:hAnsi="Kinnari" w:cs="Kinnari"/>
          <w:color w:val="00000A"/>
          <w:sz w:val="20"/>
          <w:szCs w:val="20"/>
        </w:rPr>
        <w:t>需定義何謂生殖頻度高、世代長度短、單次繁殖數量高</w:t>
      </w:r>
      <w:commentRangeEnd w:id="53"/>
      <w:r w:rsidR="00943004">
        <w:rPr>
          <w:rStyle w:val="ad"/>
        </w:rPr>
        <w:commentReference w:id="53"/>
      </w:r>
    </w:p>
    <w:p w14:paraId="77CA4333" w14:textId="77777777" w:rsidR="002A1C85" w:rsidRDefault="002A1C85">
      <w:pPr>
        <w:pStyle w:val="10"/>
        <w:widowControl w:val="0"/>
        <w:spacing w:line="360" w:lineRule="auto"/>
        <w:jc w:val="both"/>
        <w:rPr>
          <w:rFonts w:ascii="Kinnari" w:eastAsia="Kinnari" w:hAnsi="Kinnari" w:cs="Kinnari"/>
          <w:sz w:val="24"/>
          <w:szCs w:val="24"/>
          <w:highlight w:val="yellow"/>
        </w:rPr>
      </w:pPr>
    </w:p>
    <w:p w14:paraId="2580E64D" w14:textId="77777777" w:rsidR="002A1C85" w:rsidRDefault="004B4974">
      <w:pPr>
        <w:pStyle w:val="10"/>
        <w:widowControl w:val="0"/>
        <w:spacing w:line="360" w:lineRule="auto"/>
        <w:jc w:val="both"/>
        <w:rPr>
          <w:rFonts w:ascii="Kinnari" w:eastAsia="Kinnari" w:hAnsi="Kinnari" w:cs="Kinnari"/>
          <w:color w:val="00000A"/>
          <w:sz w:val="24"/>
          <w:szCs w:val="24"/>
          <w:highlight w:val="yellow"/>
        </w:rPr>
      </w:pPr>
      <w:r>
        <w:rPr>
          <w:rFonts w:ascii="Kinnari" w:eastAsia="Kinnari" w:hAnsi="Kinnari" w:cs="Kinnari"/>
          <w:color w:val="00000A"/>
          <w:sz w:val="24"/>
          <w:szCs w:val="24"/>
          <w:highlight w:val="yellow"/>
        </w:rPr>
        <w:t>族群</w:t>
      </w:r>
      <w:r w:rsidR="001217C9">
        <w:rPr>
          <w:rFonts w:ascii="Kinnari" w:eastAsia="Kinnari" w:hAnsi="Kinnari" w:cs="Kinnari"/>
          <w:color w:val="00000A"/>
          <w:sz w:val="24"/>
          <w:szCs w:val="24"/>
          <w:highlight w:val="yellow"/>
        </w:rPr>
        <w:t>恢復狀況評估</w:t>
      </w:r>
    </w:p>
    <w:p w14:paraId="5D0FEBAB" w14:textId="77777777" w:rsidR="002A1C85" w:rsidRDefault="001217C9">
      <w:pPr>
        <w:pStyle w:val="10"/>
        <w:widowControl w:val="0"/>
        <w:spacing w:line="360" w:lineRule="auto"/>
        <w:jc w:val="both"/>
        <w:rPr>
          <w:rFonts w:ascii="Kinnari" w:eastAsia="Kinnari" w:hAnsi="Kinnari" w:cs="Kinnari"/>
          <w:sz w:val="24"/>
          <w:szCs w:val="24"/>
          <w:highlight w:val="yellow"/>
        </w:rPr>
      </w:pPr>
      <w:r>
        <w:rPr>
          <w:rFonts w:ascii="Kinnari" w:eastAsia="Kinnari" w:hAnsi="Kinnari" w:cs="Kinnari"/>
          <w:color w:val="00000A"/>
          <w:sz w:val="24"/>
          <w:szCs w:val="24"/>
          <w:highlight w:val="yellow"/>
        </w:rPr>
        <w:t>假設</w:t>
      </w:r>
      <w:r w:rsidR="004B4974">
        <w:rPr>
          <w:rFonts w:ascii="Kinnari" w:hAnsi="Kinnari" w:cs="Kinnari" w:hint="eastAsia"/>
          <w:color w:val="00000A"/>
          <w:sz w:val="24"/>
          <w:szCs w:val="24"/>
          <w:highlight w:val="yellow"/>
        </w:rPr>
        <w:t>各項</w:t>
      </w:r>
      <w:r>
        <w:rPr>
          <w:rFonts w:ascii="Kinnari" w:eastAsia="Kinnari" w:hAnsi="Kinnari" w:cs="Kinnari"/>
          <w:color w:val="00000A"/>
          <w:sz w:val="24"/>
          <w:szCs w:val="24"/>
          <w:highlight w:val="yellow"/>
        </w:rPr>
        <w:t>保育行動都確實執行之後，</w:t>
      </w:r>
      <w:r w:rsidR="004B4974">
        <w:rPr>
          <w:rFonts w:ascii="Kinnari" w:eastAsia="Kinnari" w:hAnsi="Kinnari" w:cs="Kinnari"/>
          <w:color w:val="00000A"/>
          <w:sz w:val="24"/>
          <w:szCs w:val="24"/>
          <w:highlight w:val="yellow"/>
        </w:rPr>
        <w:t>估計</w:t>
      </w:r>
      <w:r>
        <w:rPr>
          <w:rFonts w:ascii="Kinnari" w:eastAsia="Kinnari" w:hAnsi="Kinnari" w:cs="Kinnari"/>
          <w:color w:val="00000A"/>
          <w:sz w:val="24"/>
          <w:szCs w:val="24"/>
          <w:highlight w:val="yellow"/>
        </w:rPr>
        <w:t>該物種可能的</w:t>
      </w:r>
      <w:r w:rsidR="00BC2432">
        <w:rPr>
          <w:rFonts w:ascii="Kinnari" w:eastAsia="Kinnari" w:hAnsi="Kinnari" w:cs="Kinnari"/>
          <w:color w:val="00000A"/>
          <w:sz w:val="24"/>
          <w:szCs w:val="24"/>
          <w:highlight w:val="yellow"/>
        </w:rPr>
        <w:t>族</w:t>
      </w:r>
      <w:r w:rsidR="00BC2432">
        <w:rPr>
          <w:rFonts w:asciiTheme="minorEastAsia" w:hAnsiTheme="minorEastAsia" w:cs="Kinnari" w:hint="eastAsia"/>
          <w:color w:val="00000A"/>
          <w:sz w:val="24"/>
          <w:szCs w:val="24"/>
          <w:highlight w:val="yellow"/>
        </w:rPr>
        <w:t>群</w:t>
      </w:r>
      <w:r>
        <w:rPr>
          <w:rFonts w:ascii="Kinnari" w:eastAsia="Kinnari" w:hAnsi="Kinnari" w:cs="Kinnari"/>
          <w:color w:val="00000A"/>
          <w:sz w:val="24"/>
          <w:szCs w:val="24"/>
          <w:highlight w:val="yellow"/>
        </w:rPr>
        <w:t>復原</w:t>
      </w:r>
      <w:r w:rsidR="004B4974">
        <w:rPr>
          <w:rFonts w:ascii="Kinnari" w:eastAsia="Kinnari" w:hAnsi="Kinnari" w:cs="Kinnari"/>
          <w:color w:val="00000A"/>
          <w:sz w:val="24"/>
          <w:szCs w:val="24"/>
          <w:highlight w:val="yellow"/>
        </w:rPr>
        <w:t>表現</w:t>
      </w:r>
      <w:r>
        <w:rPr>
          <w:rFonts w:ascii="Kinnari" w:eastAsia="Kinnari" w:hAnsi="Kinnari" w:cs="Kinnari"/>
          <w:color w:val="00000A"/>
          <w:sz w:val="24"/>
          <w:szCs w:val="24"/>
          <w:highlight w:val="yellow"/>
        </w:rPr>
        <w:t>，</w:t>
      </w:r>
    </w:p>
    <w:p w14:paraId="46D0D4D7" w14:textId="77777777" w:rsidR="002A1C85" w:rsidRDefault="002A1C85">
      <w:pPr>
        <w:pStyle w:val="10"/>
        <w:widowControl w:val="0"/>
        <w:spacing w:line="360" w:lineRule="auto"/>
        <w:jc w:val="both"/>
        <w:rPr>
          <w:rFonts w:ascii="Kinnari" w:eastAsia="Kinnari" w:hAnsi="Kinnari" w:cs="Kinnari"/>
          <w:sz w:val="24"/>
          <w:szCs w:val="24"/>
          <w:highlight w:val="yellow"/>
        </w:rPr>
      </w:pPr>
    </w:p>
    <w:p w14:paraId="54820E27"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完成以上兩個層面的評估之後，需要將這兩個評估結果合併，</w:t>
      </w:r>
      <w:r w:rsidR="002153E7">
        <w:rPr>
          <w:rFonts w:ascii="Kinnari" w:eastAsia="Kinnari" w:hAnsi="Kinnari" w:cs="Kinnari"/>
          <w:color w:val="00000A"/>
          <w:sz w:val="24"/>
          <w:szCs w:val="24"/>
        </w:rPr>
        <w:t>作為</w:t>
      </w:r>
      <w:r>
        <w:rPr>
          <w:rFonts w:ascii="Kinnari" w:eastAsia="Kinnari" w:hAnsi="Kinnari" w:cs="Kinnari"/>
          <w:color w:val="00000A"/>
          <w:sz w:val="24"/>
          <w:szCs w:val="24"/>
        </w:rPr>
        <w:t>該物種的恢復潛力評估。</w:t>
      </w:r>
      <w:r w:rsidR="004B4974">
        <w:rPr>
          <w:rFonts w:ascii="Kinnari" w:eastAsia="Kinnari" w:hAnsi="Kinnari" w:cs="Kinnari"/>
          <w:color w:val="00000A"/>
          <w:sz w:val="24"/>
          <w:szCs w:val="24"/>
        </w:rPr>
        <w:t>本文</w:t>
      </w:r>
      <w:r>
        <w:rPr>
          <w:rFonts w:ascii="Kinnari" w:eastAsia="Kinnari" w:hAnsi="Kinnari" w:cs="Kinnari"/>
          <w:color w:val="00000A"/>
          <w:sz w:val="24"/>
          <w:szCs w:val="24"/>
        </w:rPr>
        <w:t>建議</w:t>
      </w:r>
      <w:commentRangeStart w:id="54"/>
      <w:r>
        <w:rPr>
          <w:rFonts w:ascii="Kinnari" w:eastAsia="Kinnari" w:hAnsi="Kinnari" w:cs="Kinnari"/>
          <w:color w:val="00000A"/>
          <w:sz w:val="24"/>
          <w:szCs w:val="24"/>
        </w:rPr>
        <w:t>不</w:t>
      </w:r>
      <w:r w:rsidR="004B4974">
        <w:rPr>
          <w:rFonts w:ascii="Kinnari" w:eastAsia="Kinnari" w:hAnsi="Kinnari" w:cs="Kinnari"/>
          <w:color w:val="00000A"/>
          <w:sz w:val="24"/>
          <w:szCs w:val="24"/>
        </w:rPr>
        <w:t>需</w:t>
      </w:r>
      <w:r>
        <w:rPr>
          <w:rFonts w:ascii="Kinnari" w:eastAsia="Kinnari" w:hAnsi="Kinnari" w:cs="Kinnari"/>
          <w:color w:val="00000A"/>
          <w:sz w:val="24"/>
          <w:szCs w:val="24"/>
        </w:rPr>
        <w:t>要建立一套算式</w:t>
      </w:r>
      <w:commentRangeEnd w:id="54"/>
      <w:r w:rsidR="004B4974">
        <w:rPr>
          <w:rStyle w:val="ad"/>
        </w:rPr>
        <w:commentReference w:id="54"/>
      </w:r>
      <w:r>
        <w:rPr>
          <w:rFonts w:ascii="Kinnari" w:eastAsia="Kinnari" w:hAnsi="Kinnari" w:cs="Kinnari"/>
          <w:color w:val="00000A"/>
          <w:sz w:val="24"/>
          <w:szCs w:val="24"/>
        </w:rPr>
        <w:t>來整合生殖潛力及</w:t>
      </w:r>
      <w:r w:rsidR="004B4974">
        <w:rPr>
          <w:rFonts w:ascii="Kinnari" w:eastAsia="Kinnari" w:hAnsi="Kinnari" w:cs="Kinnari"/>
          <w:color w:val="00000A"/>
          <w:sz w:val="24"/>
          <w:szCs w:val="24"/>
        </w:rPr>
        <w:t>減緩</w:t>
      </w:r>
      <w:r>
        <w:rPr>
          <w:rFonts w:ascii="Kinnari" w:eastAsia="Kinnari" w:hAnsi="Kinnari" w:cs="Kinnari"/>
          <w:color w:val="00000A"/>
          <w:sz w:val="24"/>
          <w:szCs w:val="24"/>
        </w:rPr>
        <w:t>受脅因子可行性的評估結果，而是建立如表</w:t>
      </w:r>
      <w:r w:rsidR="008D14FF">
        <w:rPr>
          <w:rFonts w:ascii="新細明體" w:eastAsia="新細明體" w:hAnsi="新細明體" w:cs="新細明體" w:hint="eastAsia"/>
          <w:color w:val="00000A"/>
          <w:sz w:val="24"/>
          <w:szCs w:val="24"/>
        </w:rPr>
        <w:t>5</w:t>
      </w:r>
      <w:r>
        <w:rPr>
          <w:rFonts w:ascii="Kinnari" w:eastAsia="Kinnari" w:hAnsi="Kinnari" w:cs="Kinnari"/>
          <w:color w:val="00000A"/>
          <w:sz w:val="24"/>
          <w:szCs w:val="24"/>
        </w:rPr>
        <w:t>的評估基準</w:t>
      </w:r>
      <w:r>
        <w:rPr>
          <w:rFonts w:ascii="Kinnari" w:eastAsia="Kinnari" w:hAnsi="Kinnari" w:cs="Kinnari"/>
          <w:color w:val="00000A"/>
          <w:sz w:val="24"/>
          <w:szCs w:val="24"/>
          <w:highlight w:val="yellow"/>
        </w:rPr>
        <w:t>，</w:t>
      </w:r>
      <w:commentRangeStart w:id="55"/>
      <w:r>
        <w:rPr>
          <w:rFonts w:ascii="Kinnari" w:eastAsia="Kinnari" w:hAnsi="Kinnari" w:cs="Kinnari"/>
          <w:color w:val="00000A"/>
          <w:sz w:val="24"/>
          <w:szCs w:val="24"/>
          <w:highlight w:val="yellow"/>
        </w:rPr>
        <w:t>再以恢復狀況評估的結果進行最後加權</w:t>
      </w:r>
      <w:commentRangeEnd w:id="55"/>
      <w:r w:rsidR="008D14FF">
        <w:rPr>
          <w:rStyle w:val="ad"/>
        </w:rPr>
        <w:commentReference w:id="55"/>
      </w:r>
      <w:r w:rsidR="008D14FF">
        <w:rPr>
          <w:rFonts w:ascii="Kinnari" w:hAnsi="Kinnari" w:cs="Kinnari" w:hint="eastAsia"/>
          <w:color w:val="00000A"/>
          <w:sz w:val="24"/>
          <w:szCs w:val="24"/>
          <w:highlight w:val="yellow"/>
        </w:rPr>
        <w:t>(</w:t>
      </w:r>
      <w:r w:rsidR="008D14FF">
        <w:rPr>
          <w:rFonts w:ascii="Kinnari" w:hAnsi="Kinnari" w:cs="Kinnari" w:hint="eastAsia"/>
          <w:color w:val="00000A"/>
          <w:sz w:val="24"/>
          <w:szCs w:val="24"/>
          <w:highlight w:val="yellow"/>
        </w:rPr>
        <w:t>？</w:t>
      </w:r>
      <w:r w:rsidR="008D14FF">
        <w:rPr>
          <w:rFonts w:ascii="Kinnari" w:hAnsi="Kinnari" w:cs="Kinnari" w:hint="eastAsia"/>
          <w:color w:val="00000A"/>
          <w:sz w:val="24"/>
          <w:szCs w:val="24"/>
          <w:highlight w:val="yellow"/>
        </w:rPr>
        <w:t>)</w:t>
      </w:r>
      <w:r>
        <w:rPr>
          <w:rFonts w:ascii="Kinnari" w:eastAsia="Kinnari" w:hAnsi="Kinnari" w:cs="Kinnari"/>
          <w:color w:val="00000A"/>
          <w:sz w:val="24"/>
          <w:szCs w:val="24"/>
          <w:highlight w:val="yellow"/>
        </w:rPr>
        <w:t>，</w:t>
      </w:r>
      <w:r>
        <w:rPr>
          <w:rFonts w:ascii="Kinnari" w:eastAsia="Kinnari" w:hAnsi="Kinnari" w:cs="Kinnari"/>
          <w:color w:val="00000A"/>
          <w:sz w:val="24"/>
          <w:szCs w:val="24"/>
        </w:rPr>
        <w:t>完成保育恢復潛力評估。(Game 2013)</w:t>
      </w:r>
    </w:p>
    <w:p w14:paraId="1C65C40A" w14:textId="77777777" w:rsidR="002A1C85" w:rsidRDefault="002A1C85">
      <w:pPr>
        <w:pStyle w:val="10"/>
        <w:widowControl w:val="0"/>
        <w:spacing w:line="360" w:lineRule="auto"/>
        <w:jc w:val="both"/>
        <w:rPr>
          <w:rFonts w:ascii="Kinnari" w:eastAsia="Kinnari" w:hAnsi="Kinnari" w:cs="Kinnari"/>
          <w:color w:val="00000A"/>
          <w:sz w:val="24"/>
          <w:szCs w:val="24"/>
        </w:rPr>
      </w:pPr>
    </w:p>
    <w:p w14:paraId="071E6D42"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w:t>
      </w:r>
      <w:r w:rsidR="008D14FF">
        <w:rPr>
          <w:rFonts w:ascii="新細明體" w:eastAsia="新細明體" w:hAnsi="新細明體" w:cs="新細明體" w:hint="eastAsia"/>
          <w:color w:val="00000A"/>
          <w:sz w:val="24"/>
          <w:szCs w:val="24"/>
        </w:rPr>
        <w:t>5</w:t>
      </w:r>
      <w:r>
        <w:rPr>
          <w:rFonts w:ascii="Kinnari" w:eastAsia="Kinnari" w:hAnsi="Kinnari" w:cs="Kinnari"/>
          <w:color w:val="00000A"/>
          <w:sz w:val="24"/>
          <w:szCs w:val="24"/>
        </w:rPr>
        <w:t>、保育恢復潛力</w:t>
      </w:r>
    </w:p>
    <w:tbl>
      <w:tblPr>
        <w:tblStyle w:val="a9"/>
        <w:tblW w:w="411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9"/>
        <w:gridCol w:w="999"/>
        <w:gridCol w:w="993"/>
        <w:gridCol w:w="850"/>
      </w:tblGrid>
      <w:tr w:rsidR="002A1C85" w14:paraId="14D8CFC7" w14:textId="77777777">
        <w:trPr>
          <w:trHeight w:val="260"/>
        </w:trPr>
        <w:tc>
          <w:tcPr>
            <w:tcW w:w="1269" w:type="dxa"/>
            <w:tcBorders>
              <w:top w:val="nil"/>
              <w:left w:val="nil"/>
              <w:bottom w:val="nil"/>
              <w:right w:val="nil"/>
            </w:tcBorders>
          </w:tcPr>
          <w:p w14:paraId="3552243D" w14:textId="77777777" w:rsidR="002A1C85" w:rsidRDefault="002A1C85">
            <w:pPr>
              <w:pStyle w:val="10"/>
              <w:widowControl w:val="0"/>
              <w:spacing w:line="360" w:lineRule="auto"/>
              <w:jc w:val="both"/>
              <w:rPr>
                <w:rFonts w:ascii="Kinnari" w:eastAsia="Kinnari" w:hAnsi="Kinnari" w:cs="Kinnari"/>
                <w:color w:val="00000A"/>
              </w:rPr>
            </w:pPr>
          </w:p>
        </w:tc>
        <w:tc>
          <w:tcPr>
            <w:tcW w:w="2842" w:type="dxa"/>
            <w:gridSpan w:val="3"/>
            <w:tcBorders>
              <w:top w:val="nil"/>
              <w:left w:val="nil"/>
              <w:bottom w:val="nil"/>
              <w:right w:val="nil"/>
            </w:tcBorders>
          </w:tcPr>
          <w:p w14:paraId="2B4518E5" w14:textId="77777777" w:rsidR="002A1C85" w:rsidRDefault="001217C9">
            <w:pPr>
              <w:pStyle w:val="10"/>
              <w:widowControl w:val="0"/>
              <w:spacing w:line="360" w:lineRule="auto"/>
              <w:jc w:val="right"/>
              <w:rPr>
                <w:rFonts w:ascii="微軟正黑體" w:eastAsia="微軟正黑體" w:hAnsi="微軟正黑體" w:cs="微軟正黑體"/>
                <w:color w:val="00000A"/>
              </w:rPr>
            </w:pPr>
            <w:r>
              <w:rPr>
                <w:rFonts w:ascii="Kinnari" w:eastAsia="Kinnari" w:hAnsi="Kinnari" w:cs="Kinnari"/>
                <w:color w:val="00000A"/>
              </w:rPr>
              <w:t>受脅因子消除可行性*</w:t>
            </w:r>
          </w:p>
        </w:tc>
      </w:tr>
      <w:tr w:rsidR="002A1C85" w14:paraId="19A6D875" w14:textId="77777777">
        <w:trPr>
          <w:trHeight w:val="80"/>
        </w:trPr>
        <w:tc>
          <w:tcPr>
            <w:tcW w:w="1269" w:type="dxa"/>
            <w:tcBorders>
              <w:top w:val="nil"/>
              <w:left w:val="nil"/>
              <w:bottom w:val="nil"/>
              <w:right w:val="nil"/>
            </w:tcBorders>
          </w:tcPr>
          <w:p w14:paraId="5CA7BCD0" w14:textId="77777777" w:rsidR="002A1C85" w:rsidRDefault="001217C9">
            <w:pPr>
              <w:pStyle w:val="10"/>
              <w:widowControl w:val="0"/>
              <w:spacing w:line="360" w:lineRule="auto"/>
              <w:rPr>
                <w:rFonts w:ascii="微軟正黑體" w:eastAsia="微軟正黑體" w:hAnsi="微軟正黑體" w:cs="微軟正黑體"/>
                <w:color w:val="00000A"/>
              </w:rPr>
            </w:pPr>
            <w:r>
              <w:rPr>
                <w:rFonts w:ascii="Kinnari" w:eastAsia="Kinnari" w:hAnsi="Kinnari" w:cs="Kinnari"/>
                <w:color w:val="00000A"/>
              </w:rPr>
              <w:t>生殖潛力</w:t>
            </w:r>
          </w:p>
        </w:tc>
        <w:tc>
          <w:tcPr>
            <w:tcW w:w="999" w:type="dxa"/>
            <w:tcBorders>
              <w:top w:val="single" w:sz="12" w:space="0" w:color="00000A"/>
              <w:left w:val="nil"/>
              <w:bottom w:val="nil"/>
              <w:right w:val="nil"/>
            </w:tcBorders>
          </w:tcPr>
          <w:p w14:paraId="2A036842" w14:textId="77777777" w:rsidR="002A1C85" w:rsidRDefault="001217C9">
            <w:pPr>
              <w:pStyle w:val="10"/>
              <w:widowControl w:val="0"/>
              <w:spacing w:line="360" w:lineRule="auto"/>
              <w:jc w:val="right"/>
              <w:rPr>
                <w:rFonts w:ascii="微軟正黑體" w:eastAsia="微軟正黑體" w:hAnsi="微軟正黑體" w:cs="微軟正黑體"/>
                <w:color w:val="00000A"/>
                <w:sz w:val="20"/>
                <w:szCs w:val="20"/>
              </w:rPr>
            </w:pPr>
            <w:r>
              <w:rPr>
                <w:rFonts w:ascii="Kinnari" w:eastAsia="Kinnari" w:hAnsi="Kinnari" w:cs="Kinnari"/>
                <w:color w:val="00000A"/>
                <w:sz w:val="20"/>
                <w:szCs w:val="20"/>
              </w:rPr>
              <w:t>高</w:t>
            </w:r>
          </w:p>
        </w:tc>
        <w:tc>
          <w:tcPr>
            <w:tcW w:w="993" w:type="dxa"/>
            <w:tcBorders>
              <w:top w:val="single" w:sz="12" w:space="0" w:color="00000A"/>
              <w:left w:val="nil"/>
              <w:bottom w:val="nil"/>
              <w:right w:val="nil"/>
            </w:tcBorders>
          </w:tcPr>
          <w:p w14:paraId="5FC366A5" w14:textId="77777777" w:rsidR="002A1C85" w:rsidRDefault="001217C9">
            <w:pPr>
              <w:pStyle w:val="10"/>
              <w:widowControl w:val="0"/>
              <w:spacing w:line="360" w:lineRule="auto"/>
              <w:jc w:val="right"/>
              <w:rPr>
                <w:rFonts w:ascii="微軟正黑體" w:eastAsia="微軟正黑體" w:hAnsi="微軟正黑體" w:cs="微軟正黑體"/>
                <w:color w:val="00000A"/>
                <w:sz w:val="20"/>
                <w:szCs w:val="20"/>
              </w:rPr>
            </w:pPr>
            <w:r>
              <w:rPr>
                <w:rFonts w:ascii="Kinnari" w:eastAsia="Kinnari" w:hAnsi="Kinnari" w:cs="Kinnari"/>
                <w:color w:val="00000A"/>
                <w:sz w:val="20"/>
                <w:szCs w:val="20"/>
              </w:rPr>
              <w:t>中</w:t>
            </w:r>
          </w:p>
        </w:tc>
        <w:tc>
          <w:tcPr>
            <w:tcW w:w="850" w:type="dxa"/>
            <w:tcBorders>
              <w:top w:val="single" w:sz="12" w:space="0" w:color="00000A"/>
              <w:left w:val="nil"/>
              <w:bottom w:val="nil"/>
              <w:right w:val="nil"/>
            </w:tcBorders>
          </w:tcPr>
          <w:p w14:paraId="6645AA65" w14:textId="77777777" w:rsidR="002A1C85" w:rsidRDefault="001217C9">
            <w:pPr>
              <w:pStyle w:val="10"/>
              <w:widowControl w:val="0"/>
              <w:spacing w:line="360" w:lineRule="auto"/>
              <w:jc w:val="right"/>
              <w:rPr>
                <w:rFonts w:ascii="微軟正黑體" w:eastAsia="微軟正黑體" w:hAnsi="微軟正黑體" w:cs="微軟正黑體"/>
                <w:color w:val="00000A"/>
                <w:sz w:val="20"/>
                <w:szCs w:val="20"/>
              </w:rPr>
            </w:pPr>
            <w:r>
              <w:rPr>
                <w:rFonts w:ascii="Kinnari" w:eastAsia="Kinnari" w:hAnsi="Kinnari" w:cs="Kinnari"/>
                <w:color w:val="00000A"/>
                <w:sz w:val="20"/>
                <w:szCs w:val="20"/>
              </w:rPr>
              <w:t>低</w:t>
            </w:r>
          </w:p>
        </w:tc>
      </w:tr>
      <w:tr w:rsidR="002A1C85" w14:paraId="7352665A" w14:textId="77777777">
        <w:trPr>
          <w:trHeight w:val="220"/>
        </w:trPr>
        <w:tc>
          <w:tcPr>
            <w:tcW w:w="1269" w:type="dxa"/>
            <w:tcBorders>
              <w:top w:val="nil"/>
              <w:left w:val="nil"/>
              <w:bottom w:val="nil"/>
              <w:right w:val="nil"/>
            </w:tcBorders>
            <w:shd w:val="clear" w:color="auto" w:fill="FFFFFF"/>
          </w:tcPr>
          <w:p w14:paraId="30CACC55" w14:textId="77777777" w:rsidR="002A1C85" w:rsidRDefault="001217C9">
            <w:pPr>
              <w:pStyle w:val="10"/>
              <w:widowControl w:val="0"/>
              <w:spacing w:line="360" w:lineRule="auto"/>
              <w:rPr>
                <w:rFonts w:ascii="微軟正黑體" w:eastAsia="微軟正黑體" w:hAnsi="微軟正黑體" w:cs="微軟正黑體"/>
                <w:color w:val="00000A"/>
                <w:sz w:val="20"/>
                <w:szCs w:val="20"/>
              </w:rPr>
            </w:pPr>
            <w:r>
              <w:rPr>
                <w:rFonts w:ascii="Kinnari" w:eastAsia="Kinnari" w:hAnsi="Kinnari" w:cs="Kinnari"/>
                <w:color w:val="00000A"/>
                <w:sz w:val="20"/>
                <w:szCs w:val="20"/>
              </w:rPr>
              <w:t>高</w:t>
            </w:r>
          </w:p>
        </w:tc>
        <w:tc>
          <w:tcPr>
            <w:tcW w:w="999" w:type="dxa"/>
            <w:tcBorders>
              <w:top w:val="nil"/>
              <w:left w:val="nil"/>
              <w:bottom w:val="nil"/>
              <w:right w:val="nil"/>
            </w:tcBorders>
            <w:shd w:val="clear" w:color="auto" w:fill="800000"/>
          </w:tcPr>
          <w:p w14:paraId="6F0DABD2"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FFFFFF"/>
                <w:sz w:val="16"/>
                <w:szCs w:val="16"/>
              </w:rPr>
              <w:t>極高</w:t>
            </w:r>
          </w:p>
        </w:tc>
        <w:tc>
          <w:tcPr>
            <w:tcW w:w="993" w:type="dxa"/>
            <w:tcBorders>
              <w:top w:val="nil"/>
              <w:left w:val="nil"/>
              <w:bottom w:val="nil"/>
              <w:right w:val="nil"/>
            </w:tcBorders>
            <w:shd w:val="clear" w:color="auto" w:fill="FF0000"/>
          </w:tcPr>
          <w:p w14:paraId="7A859A69"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FFFFFF"/>
                <w:sz w:val="16"/>
                <w:szCs w:val="16"/>
              </w:rPr>
              <w:t>高</w:t>
            </w:r>
          </w:p>
        </w:tc>
        <w:tc>
          <w:tcPr>
            <w:tcW w:w="850" w:type="dxa"/>
            <w:tcBorders>
              <w:top w:val="nil"/>
              <w:left w:val="nil"/>
              <w:bottom w:val="nil"/>
              <w:right w:val="nil"/>
            </w:tcBorders>
            <w:shd w:val="clear" w:color="auto" w:fill="FF9966"/>
          </w:tcPr>
          <w:p w14:paraId="7281A98C"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低</w:t>
            </w:r>
          </w:p>
        </w:tc>
      </w:tr>
      <w:tr w:rsidR="002A1C85" w14:paraId="4585BF88" w14:textId="77777777">
        <w:trPr>
          <w:trHeight w:val="100"/>
        </w:trPr>
        <w:tc>
          <w:tcPr>
            <w:tcW w:w="1269" w:type="dxa"/>
            <w:tcBorders>
              <w:top w:val="nil"/>
              <w:left w:val="nil"/>
              <w:bottom w:val="nil"/>
              <w:right w:val="nil"/>
            </w:tcBorders>
            <w:shd w:val="clear" w:color="auto" w:fill="FFFFFF"/>
          </w:tcPr>
          <w:p w14:paraId="3B2D8CB2" w14:textId="77777777" w:rsidR="002A1C85" w:rsidRDefault="001217C9">
            <w:pPr>
              <w:pStyle w:val="10"/>
              <w:widowControl w:val="0"/>
              <w:spacing w:line="360" w:lineRule="auto"/>
              <w:rPr>
                <w:rFonts w:ascii="微軟正黑體" w:eastAsia="微軟正黑體" w:hAnsi="微軟正黑體" w:cs="微軟正黑體"/>
                <w:color w:val="00000A"/>
                <w:sz w:val="20"/>
                <w:szCs w:val="20"/>
              </w:rPr>
            </w:pPr>
            <w:r>
              <w:rPr>
                <w:rFonts w:ascii="Kinnari" w:eastAsia="Kinnari" w:hAnsi="Kinnari" w:cs="Kinnari"/>
                <w:color w:val="00000A"/>
                <w:sz w:val="20"/>
                <w:szCs w:val="20"/>
              </w:rPr>
              <w:t>中</w:t>
            </w:r>
          </w:p>
        </w:tc>
        <w:tc>
          <w:tcPr>
            <w:tcW w:w="999" w:type="dxa"/>
            <w:tcBorders>
              <w:top w:val="nil"/>
              <w:left w:val="nil"/>
              <w:bottom w:val="nil"/>
              <w:right w:val="nil"/>
            </w:tcBorders>
            <w:shd w:val="clear" w:color="auto" w:fill="FF0000"/>
          </w:tcPr>
          <w:p w14:paraId="5D7B6832" w14:textId="77777777" w:rsidR="002A1C85" w:rsidRDefault="001217C9">
            <w:pPr>
              <w:pStyle w:val="10"/>
              <w:widowControl w:val="0"/>
              <w:spacing w:line="360" w:lineRule="auto"/>
              <w:jc w:val="right"/>
              <w:rPr>
                <w:rFonts w:ascii="微軟正黑體" w:eastAsia="微軟正黑體" w:hAnsi="微軟正黑體" w:cs="微軟正黑體"/>
                <w:color w:val="FFFFFF"/>
                <w:sz w:val="16"/>
                <w:szCs w:val="16"/>
              </w:rPr>
            </w:pPr>
            <w:r>
              <w:rPr>
                <w:rFonts w:ascii="Kinnari" w:eastAsia="Kinnari" w:hAnsi="Kinnari" w:cs="Kinnari"/>
                <w:color w:val="FFFFFF"/>
                <w:sz w:val="16"/>
                <w:szCs w:val="16"/>
              </w:rPr>
              <w:t>高</w:t>
            </w:r>
          </w:p>
        </w:tc>
        <w:tc>
          <w:tcPr>
            <w:tcW w:w="993" w:type="dxa"/>
            <w:tcBorders>
              <w:top w:val="nil"/>
              <w:left w:val="nil"/>
              <w:bottom w:val="nil"/>
              <w:right w:val="nil"/>
            </w:tcBorders>
            <w:shd w:val="clear" w:color="auto" w:fill="FF6600"/>
          </w:tcPr>
          <w:p w14:paraId="625936B4"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中</w:t>
            </w:r>
          </w:p>
        </w:tc>
        <w:tc>
          <w:tcPr>
            <w:tcW w:w="850" w:type="dxa"/>
            <w:tcBorders>
              <w:top w:val="nil"/>
              <w:left w:val="nil"/>
              <w:bottom w:val="nil"/>
              <w:right w:val="nil"/>
            </w:tcBorders>
            <w:shd w:val="clear" w:color="auto" w:fill="FF9966"/>
          </w:tcPr>
          <w:p w14:paraId="139490DA"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低</w:t>
            </w:r>
          </w:p>
        </w:tc>
      </w:tr>
      <w:tr w:rsidR="002A1C85" w14:paraId="6D2DC830" w14:textId="77777777">
        <w:trPr>
          <w:trHeight w:val="60"/>
        </w:trPr>
        <w:tc>
          <w:tcPr>
            <w:tcW w:w="1269" w:type="dxa"/>
            <w:tcBorders>
              <w:top w:val="nil"/>
              <w:left w:val="nil"/>
              <w:right w:val="nil"/>
            </w:tcBorders>
            <w:shd w:val="clear" w:color="auto" w:fill="FFFFFF"/>
          </w:tcPr>
          <w:p w14:paraId="3711910F" w14:textId="77777777" w:rsidR="002A1C85" w:rsidRDefault="001217C9">
            <w:pPr>
              <w:pStyle w:val="10"/>
              <w:widowControl w:val="0"/>
              <w:spacing w:line="360" w:lineRule="auto"/>
              <w:rPr>
                <w:rFonts w:ascii="微軟正黑體" w:eastAsia="微軟正黑體" w:hAnsi="微軟正黑體" w:cs="微軟正黑體"/>
                <w:color w:val="00000A"/>
                <w:sz w:val="20"/>
                <w:szCs w:val="20"/>
              </w:rPr>
            </w:pPr>
            <w:r>
              <w:rPr>
                <w:rFonts w:ascii="Kinnari" w:eastAsia="Kinnari" w:hAnsi="Kinnari" w:cs="Kinnari"/>
                <w:color w:val="00000A"/>
                <w:sz w:val="20"/>
                <w:szCs w:val="20"/>
              </w:rPr>
              <w:t>低</w:t>
            </w:r>
          </w:p>
        </w:tc>
        <w:tc>
          <w:tcPr>
            <w:tcW w:w="999" w:type="dxa"/>
            <w:tcBorders>
              <w:top w:val="nil"/>
              <w:left w:val="nil"/>
              <w:right w:val="nil"/>
            </w:tcBorders>
            <w:shd w:val="clear" w:color="auto" w:fill="FF0000"/>
          </w:tcPr>
          <w:p w14:paraId="37F6BF52" w14:textId="77777777" w:rsidR="002A1C85" w:rsidRDefault="001217C9">
            <w:pPr>
              <w:pStyle w:val="10"/>
              <w:widowControl w:val="0"/>
              <w:spacing w:line="360" w:lineRule="auto"/>
              <w:jc w:val="right"/>
              <w:rPr>
                <w:rFonts w:ascii="微軟正黑體" w:eastAsia="微軟正黑體" w:hAnsi="微軟正黑體" w:cs="微軟正黑體"/>
                <w:color w:val="FFFFFF"/>
                <w:sz w:val="16"/>
                <w:szCs w:val="16"/>
              </w:rPr>
            </w:pPr>
            <w:r>
              <w:rPr>
                <w:rFonts w:ascii="Kinnari" w:eastAsia="Kinnari" w:hAnsi="Kinnari" w:cs="Kinnari"/>
                <w:color w:val="FFFFFF"/>
                <w:sz w:val="16"/>
                <w:szCs w:val="16"/>
              </w:rPr>
              <w:t>高</w:t>
            </w:r>
          </w:p>
        </w:tc>
        <w:tc>
          <w:tcPr>
            <w:tcW w:w="993" w:type="dxa"/>
            <w:tcBorders>
              <w:top w:val="nil"/>
              <w:left w:val="nil"/>
              <w:right w:val="nil"/>
            </w:tcBorders>
            <w:shd w:val="clear" w:color="auto" w:fill="FF6600"/>
          </w:tcPr>
          <w:p w14:paraId="10168296"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中</w:t>
            </w:r>
          </w:p>
        </w:tc>
        <w:tc>
          <w:tcPr>
            <w:tcW w:w="850" w:type="dxa"/>
            <w:tcBorders>
              <w:top w:val="nil"/>
              <w:left w:val="nil"/>
              <w:right w:val="nil"/>
            </w:tcBorders>
            <w:shd w:val="clear" w:color="auto" w:fill="FFCC99"/>
          </w:tcPr>
          <w:p w14:paraId="4A9C6725"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極低</w:t>
            </w:r>
          </w:p>
        </w:tc>
      </w:tr>
    </w:tbl>
    <w:p w14:paraId="1065B9CC"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*需額外定義生殖潛力及受脅因子消除可行性的高、中、低是如何判定</w:t>
      </w:r>
    </w:p>
    <w:p w14:paraId="2995915D" w14:textId="77777777" w:rsidR="002A1C85" w:rsidRDefault="002A1C85">
      <w:pPr>
        <w:pStyle w:val="10"/>
        <w:widowControl w:val="0"/>
        <w:spacing w:line="360" w:lineRule="auto"/>
        <w:jc w:val="both"/>
        <w:rPr>
          <w:rFonts w:ascii="Kinnari" w:eastAsia="Kinnari" w:hAnsi="Kinnari" w:cs="Kinnari"/>
          <w:color w:val="00000A"/>
          <w:sz w:val="24"/>
          <w:szCs w:val="24"/>
        </w:rPr>
      </w:pPr>
    </w:p>
    <w:p w14:paraId="69F676D9" w14:textId="77777777" w:rsidR="002A1C85" w:rsidRDefault="002A1C85">
      <w:pPr>
        <w:pStyle w:val="10"/>
        <w:widowControl w:val="0"/>
        <w:spacing w:line="360" w:lineRule="auto"/>
        <w:jc w:val="both"/>
        <w:rPr>
          <w:rFonts w:ascii="Kinnari" w:eastAsia="Kinnari" w:hAnsi="Kinnari" w:cs="Kinnari"/>
          <w:color w:val="00000A"/>
          <w:sz w:val="24"/>
          <w:szCs w:val="24"/>
        </w:rPr>
      </w:pPr>
    </w:p>
    <w:p w14:paraId="2F3A4969" w14:textId="77777777" w:rsidR="002A1C85" w:rsidRDefault="002A1C85">
      <w:pPr>
        <w:pStyle w:val="10"/>
        <w:widowControl w:val="0"/>
        <w:spacing w:line="360" w:lineRule="auto"/>
        <w:jc w:val="both"/>
        <w:rPr>
          <w:rFonts w:ascii="Kinnari" w:eastAsia="Kinnari" w:hAnsi="Kinnari" w:cs="Kinnari"/>
          <w:color w:val="00000A"/>
          <w:sz w:val="24"/>
          <w:szCs w:val="24"/>
        </w:rPr>
      </w:pPr>
    </w:p>
    <w:p w14:paraId="6A1F0E2B"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&lt;保育行動成本評估&gt;</w:t>
      </w:r>
    </w:p>
    <w:p w14:paraId="446F7D55" w14:textId="77777777" w:rsidR="002A1C85" w:rsidRDefault="001217C9">
      <w:pPr>
        <w:pStyle w:val="10"/>
        <w:widowControl w:val="0"/>
        <w:spacing w:line="360" w:lineRule="auto"/>
        <w:jc w:val="both"/>
        <w:rPr>
          <w:rFonts w:ascii="新細明體" w:eastAsia="新細明體" w:hAnsi="新細明體" w:cs="新細明體"/>
          <w:sz w:val="24"/>
          <w:szCs w:val="24"/>
          <w:highlight w:val="lightGray"/>
        </w:rPr>
      </w:pPr>
      <w:r>
        <w:rPr>
          <w:rFonts w:ascii="Kinnari" w:eastAsia="Kinnari" w:hAnsi="Kinnari" w:cs="Kinnari"/>
          <w:color w:val="00000A"/>
          <w:sz w:val="24"/>
          <w:szCs w:val="24"/>
        </w:rPr>
        <w:t>要</w:t>
      </w:r>
      <w:r w:rsidR="008D14FF">
        <w:rPr>
          <w:rFonts w:ascii="Kinnari" w:eastAsia="Kinnari" w:hAnsi="Kinnari" w:cs="Kinnari"/>
          <w:color w:val="00000A"/>
          <w:sz w:val="24"/>
          <w:szCs w:val="24"/>
        </w:rPr>
        <w:t>估計</w:t>
      </w:r>
      <w:r>
        <w:rPr>
          <w:rFonts w:ascii="Kinnari" w:eastAsia="Kinnari" w:hAnsi="Kinnari" w:cs="Kinnari"/>
          <w:color w:val="00000A"/>
          <w:sz w:val="24"/>
          <w:szCs w:val="24"/>
        </w:rPr>
        <w:t>保育行動成本，必須要</w:t>
      </w:r>
      <w:r w:rsidR="008D14FF">
        <w:rPr>
          <w:rFonts w:ascii="Kinnari" w:hAnsi="Kinnari" w:cs="Kinnari" w:hint="eastAsia"/>
          <w:color w:val="00000A"/>
          <w:sz w:val="24"/>
          <w:szCs w:val="24"/>
        </w:rPr>
        <w:t>列出</w:t>
      </w:r>
      <w:r>
        <w:rPr>
          <w:rFonts w:ascii="Kinnari" w:eastAsia="Kinnari" w:hAnsi="Kinnari" w:cs="Kinnari"/>
          <w:color w:val="00000A"/>
          <w:sz w:val="24"/>
          <w:szCs w:val="24"/>
        </w:rPr>
        <w:t>所有</w:t>
      </w:r>
      <w:r w:rsidR="008D14FF">
        <w:rPr>
          <w:rFonts w:ascii="Kinnari" w:hAnsi="Kinnari" w:cs="Kinnari" w:hint="eastAsia"/>
          <w:color w:val="00000A"/>
          <w:sz w:val="24"/>
          <w:szCs w:val="24"/>
        </w:rPr>
        <w:t>將</w:t>
      </w:r>
      <w:r>
        <w:rPr>
          <w:rFonts w:ascii="Kinnari" w:eastAsia="Kinnari" w:hAnsi="Kinnari" w:cs="Kinnari"/>
          <w:color w:val="00000A"/>
          <w:sz w:val="24"/>
          <w:szCs w:val="24"/>
        </w:rPr>
        <w:t>實行的保育行動。</w:t>
      </w:r>
      <w:r w:rsidR="008D14FF">
        <w:rPr>
          <w:rFonts w:ascii="Kinnari" w:eastAsia="Kinnari" w:hAnsi="Kinnari" w:cs="Kinnari"/>
          <w:color w:val="00000A"/>
          <w:sz w:val="24"/>
          <w:szCs w:val="24"/>
        </w:rPr>
        <w:t>一般來說，應該會</w:t>
      </w:r>
      <w:r>
        <w:rPr>
          <w:rFonts w:ascii="Kinnari" w:eastAsia="Kinnari" w:hAnsi="Kinnari" w:cs="Kinnari"/>
          <w:color w:val="00000A"/>
          <w:sz w:val="24"/>
          <w:szCs w:val="24"/>
        </w:rPr>
        <w:t>包含以下幾類: (1)調查(Investigation):</w:t>
      </w:r>
      <w:r w:rsidR="008D14FF">
        <w:rPr>
          <w:rFonts w:ascii="Kinnari" w:eastAsia="Kinnari" w:hAnsi="Kinnari" w:cs="Kinnari"/>
          <w:color w:val="00000A"/>
          <w:sz w:val="24"/>
          <w:szCs w:val="24"/>
        </w:rPr>
        <w:t>可能是針對數量與分布的調查評估，也可以是</w:t>
      </w:r>
      <w:r>
        <w:rPr>
          <w:rFonts w:ascii="Kinnari" w:eastAsia="Kinnari" w:hAnsi="Kinnari" w:cs="Kinnari"/>
          <w:color w:val="00000A"/>
          <w:sz w:val="24"/>
          <w:szCs w:val="24"/>
        </w:rPr>
        <w:t>針對生活史、環境需求、受脅機制等尚未明瞭的</w:t>
      </w:r>
      <w:r w:rsidR="004D7B46">
        <w:rPr>
          <w:rFonts w:ascii="Kinnari" w:hAnsi="Kinnari" w:cs="Kinnari" w:hint="eastAsia"/>
          <w:color w:val="00000A"/>
          <w:sz w:val="24"/>
          <w:szCs w:val="24"/>
        </w:rPr>
        <w:t>部分</w:t>
      </w:r>
      <w:r>
        <w:rPr>
          <w:rFonts w:ascii="Kinnari" w:eastAsia="Kinnari" w:hAnsi="Kinnari" w:cs="Kinnari"/>
          <w:color w:val="00000A"/>
          <w:sz w:val="24"/>
          <w:szCs w:val="24"/>
        </w:rPr>
        <w:t>進行調查；(2)干預(Intervention):</w:t>
      </w:r>
      <w:r w:rsidR="004D7B46">
        <w:rPr>
          <w:rFonts w:ascii="Kinnari" w:eastAsia="Kinnari" w:hAnsi="Kinnari" w:cs="Kinnari"/>
          <w:color w:val="00000A"/>
          <w:sz w:val="24"/>
          <w:szCs w:val="24"/>
        </w:rPr>
        <w:t>針對威脅因子，提出相對應的行動，</w:t>
      </w:r>
      <w:r>
        <w:rPr>
          <w:rFonts w:ascii="Kinnari" w:eastAsia="Kinnari" w:hAnsi="Kinnari" w:cs="Kinnari"/>
          <w:color w:val="00000A"/>
          <w:sz w:val="24"/>
          <w:szCs w:val="24"/>
        </w:rPr>
        <w:t>執行</w:t>
      </w:r>
      <w:r w:rsidR="004D7B46">
        <w:rPr>
          <w:rFonts w:ascii="Kinnari" w:hAnsi="Kinnari" w:cs="Kinnari" w:hint="eastAsia"/>
          <w:color w:val="00000A"/>
          <w:sz w:val="24"/>
          <w:szCs w:val="24"/>
        </w:rPr>
        <w:t>降低</w:t>
      </w:r>
      <w:r>
        <w:rPr>
          <w:rFonts w:ascii="Kinnari" w:eastAsia="Kinnari" w:hAnsi="Kinnari" w:cs="Kinnari"/>
          <w:color w:val="00000A"/>
          <w:sz w:val="24"/>
          <w:szCs w:val="24"/>
        </w:rPr>
        <w:t>威脅的實際行動</w:t>
      </w:r>
      <w:r w:rsidR="004D7B46">
        <w:rPr>
          <w:rFonts w:ascii="Kinnari" w:eastAsia="Kinnari" w:hAnsi="Kinnari" w:cs="Kinnari"/>
          <w:color w:val="00000A"/>
          <w:sz w:val="24"/>
          <w:szCs w:val="24"/>
        </w:rPr>
        <w:t>，例如：移除外來種</w:t>
      </w:r>
      <w:r>
        <w:rPr>
          <w:rFonts w:ascii="Kinnari" w:eastAsia="Kinnari" w:hAnsi="Kinnari" w:cs="Kinnari"/>
          <w:color w:val="00000A"/>
          <w:sz w:val="24"/>
          <w:szCs w:val="24"/>
        </w:rPr>
        <w:t>；(3)監測(Monitoring):</w:t>
      </w:r>
      <w:r w:rsidR="004D7B46">
        <w:rPr>
          <w:rFonts w:ascii="Kinnari" w:eastAsia="Kinnari" w:hAnsi="Kinnari" w:cs="Kinnari"/>
          <w:color w:val="00000A"/>
          <w:sz w:val="24"/>
          <w:szCs w:val="24"/>
        </w:rPr>
        <w:t>前述的調查工作若有必要，應該建立其調查標準，並且進行週期性的調查工作，</w:t>
      </w:r>
      <w:r>
        <w:rPr>
          <w:rFonts w:ascii="Kinnari" w:eastAsia="Kinnari" w:hAnsi="Kinnari" w:cs="Kinnari"/>
          <w:color w:val="00000A"/>
          <w:sz w:val="24"/>
          <w:szCs w:val="24"/>
        </w:rPr>
        <w:t>以檢</w:t>
      </w:r>
      <w:r w:rsidR="004D7B46">
        <w:rPr>
          <w:rFonts w:ascii="Kinnari" w:hAnsi="Kinnari" w:cs="Kinnari" w:hint="eastAsia"/>
          <w:color w:val="00000A"/>
          <w:sz w:val="24"/>
          <w:szCs w:val="24"/>
        </w:rPr>
        <w:t>視</w:t>
      </w:r>
      <w:r>
        <w:rPr>
          <w:rFonts w:ascii="Kinnari" w:eastAsia="Kinnari" w:hAnsi="Kinnari" w:cs="Kinnari"/>
          <w:color w:val="00000A"/>
          <w:sz w:val="24"/>
          <w:szCs w:val="24"/>
        </w:rPr>
        <w:t>保育</w:t>
      </w:r>
      <w:r w:rsidR="004D7B46">
        <w:rPr>
          <w:rFonts w:ascii="Kinnari" w:eastAsia="Kinnari" w:hAnsi="Kinnari" w:cs="Kinnari"/>
          <w:color w:val="00000A"/>
          <w:sz w:val="24"/>
          <w:szCs w:val="24"/>
        </w:rPr>
        <w:t>行動的</w:t>
      </w:r>
      <w:r>
        <w:rPr>
          <w:rFonts w:ascii="Kinnari" w:eastAsia="Kinnari" w:hAnsi="Kinnari" w:cs="Kinnari"/>
          <w:color w:val="00000A"/>
          <w:sz w:val="24"/>
          <w:szCs w:val="24"/>
        </w:rPr>
        <w:t>成效；(4)大眾關注(Public awareness):</w:t>
      </w:r>
      <w:r w:rsidR="004D7B46">
        <w:rPr>
          <w:rFonts w:ascii="Kinnari" w:eastAsia="Kinnari" w:hAnsi="Kinnari" w:cs="Kinnari"/>
          <w:color w:val="00000A"/>
          <w:sz w:val="24"/>
          <w:szCs w:val="24"/>
        </w:rPr>
        <w:t>透過各種教育訓練或是解說工作，或是媒體宣導等，</w:t>
      </w:r>
      <w:r>
        <w:rPr>
          <w:rFonts w:ascii="Kinnari" w:eastAsia="Kinnari" w:hAnsi="Kinnari" w:cs="Kinnari"/>
          <w:color w:val="00000A"/>
          <w:sz w:val="24"/>
          <w:szCs w:val="24"/>
        </w:rPr>
        <w:t>增加社會關注。其中，調查</w:t>
      </w:r>
      <w:r w:rsidR="004D7B46">
        <w:rPr>
          <w:rFonts w:ascii="Kinnari" w:eastAsia="Kinnari" w:hAnsi="Kinnari" w:cs="Kinnari"/>
          <w:color w:val="00000A"/>
          <w:sz w:val="24"/>
          <w:szCs w:val="24"/>
        </w:rPr>
        <w:t>項目</w:t>
      </w:r>
      <w:r>
        <w:rPr>
          <w:rFonts w:ascii="Kinnari" w:eastAsia="Kinnari" w:hAnsi="Kinnari" w:cs="Kinnari"/>
          <w:color w:val="00000A"/>
          <w:sz w:val="24"/>
          <w:szCs w:val="24"/>
        </w:rPr>
        <w:t>是實施</w:t>
      </w:r>
      <w:r w:rsidR="004D7B46">
        <w:rPr>
          <w:rFonts w:ascii="Kinnari" w:eastAsia="Kinnari" w:hAnsi="Kinnari" w:cs="Kinnari"/>
          <w:color w:val="00000A"/>
          <w:sz w:val="24"/>
          <w:szCs w:val="24"/>
        </w:rPr>
        <w:t>各項</w:t>
      </w:r>
      <w:r>
        <w:rPr>
          <w:rFonts w:ascii="Kinnari" w:eastAsia="Kinnari" w:hAnsi="Kinnari" w:cs="Kinnari"/>
          <w:color w:val="00000A"/>
          <w:sz w:val="24"/>
          <w:szCs w:val="24"/>
        </w:rPr>
        <w:t>行動的基</w:t>
      </w:r>
      <w:r w:rsidR="004D7B46">
        <w:rPr>
          <w:rFonts w:ascii="Kinnari" w:hAnsi="Kinnari" w:cs="Kinnari" w:hint="eastAsia"/>
          <w:color w:val="00000A"/>
          <w:sz w:val="24"/>
          <w:szCs w:val="24"/>
        </w:rPr>
        <w:t>礎工作</w:t>
      </w:r>
      <w:r>
        <w:rPr>
          <w:rFonts w:ascii="Kinnari" w:eastAsia="Kinnari" w:hAnsi="Kinnari" w:cs="Kinnari"/>
          <w:color w:val="00000A"/>
          <w:sz w:val="24"/>
          <w:szCs w:val="24"/>
        </w:rPr>
        <w:t>，因此</w:t>
      </w:r>
      <w:r w:rsidR="004D7B46">
        <w:rPr>
          <w:rFonts w:ascii="Kinnari" w:eastAsia="Kinnari" w:hAnsi="Kinnari" w:cs="Kinnari"/>
          <w:color w:val="00000A"/>
          <w:sz w:val="24"/>
          <w:szCs w:val="24"/>
        </w:rPr>
        <w:t>應該</w:t>
      </w:r>
      <w:r>
        <w:rPr>
          <w:rFonts w:ascii="Kinnari" w:eastAsia="Kinnari" w:hAnsi="Kinnari" w:cs="Kinnari"/>
          <w:color w:val="00000A"/>
          <w:sz w:val="24"/>
          <w:szCs w:val="24"/>
        </w:rPr>
        <w:t>被視為最必須優先執行的項目；干預行動</w:t>
      </w:r>
      <w:r w:rsidR="004D7B46">
        <w:rPr>
          <w:rFonts w:ascii="Kinnari" w:eastAsia="Kinnari" w:hAnsi="Kinnari" w:cs="Kinnari"/>
          <w:color w:val="00000A"/>
          <w:sz w:val="24"/>
          <w:szCs w:val="24"/>
        </w:rPr>
        <w:t>則</w:t>
      </w:r>
      <w:r>
        <w:rPr>
          <w:rFonts w:ascii="Kinnari" w:eastAsia="Kinnari" w:hAnsi="Kinnari" w:cs="Kinnari"/>
          <w:color w:val="00000A"/>
          <w:sz w:val="24"/>
          <w:szCs w:val="24"/>
        </w:rPr>
        <w:t>是確實能讓物種現況改變的步驟，若是</w:t>
      </w:r>
      <w:r>
        <w:rPr>
          <w:rFonts w:ascii="Calibri" w:eastAsia="Calibri" w:hAnsi="Calibri" w:cs="Calibri"/>
          <w:color w:val="00000A"/>
          <w:sz w:val="24"/>
          <w:szCs w:val="24"/>
        </w:rPr>
        <w:t>無法及時地實施正確的干預行動，該物種的現況將繼續加劇；監測行動是用來</w:t>
      </w:r>
      <w:r w:rsidR="004D7B46">
        <w:rPr>
          <w:rFonts w:ascii="Calibri" w:hAnsi="Calibri" w:cs="Calibri" w:hint="eastAsia"/>
          <w:color w:val="00000A"/>
          <w:sz w:val="24"/>
          <w:szCs w:val="24"/>
        </w:rPr>
        <w:t>評估</w:t>
      </w:r>
      <w:r>
        <w:rPr>
          <w:rFonts w:ascii="Calibri" w:eastAsia="Calibri" w:hAnsi="Calibri" w:cs="Calibri"/>
          <w:color w:val="00000A"/>
          <w:sz w:val="24"/>
          <w:szCs w:val="24"/>
        </w:rPr>
        <w:t>保育成效</w:t>
      </w:r>
      <w:r w:rsidR="004D7B46">
        <w:rPr>
          <w:rFonts w:ascii="Calibri" w:eastAsia="Calibri" w:hAnsi="Calibri" w:cs="Calibri"/>
          <w:color w:val="00000A"/>
          <w:sz w:val="24"/>
          <w:szCs w:val="24"/>
        </w:rPr>
        <w:t>的依據</w:t>
      </w:r>
      <w:r>
        <w:rPr>
          <w:rFonts w:ascii="Calibri" w:eastAsia="Calibri" w:hAnsi="Calibri" w:cs="Calibri"/>
          <w:color w:val="00000A"/>
          <w:sz w:val="24"/>
          <w:szCs w:val="24"/>
        </w:rPr>
        <w:t>，若是成效遠低於預先評估的狀況，則必須重新檢視保育行動措施，</w:t>
      </w:r>
      <w:r w:rsidR="004D7B46">
        <w:rPr>
          <w:rFonts w:ascii="Calibri" w:eastAsia="Calibri" w:hAnsi="Calibri" w:cs="Calibri"/>
          <w:color w:val="00000A"/>
          <w:sz w:val="24"/>
          <w:szCs w:val="24"/>
        </w:rPr>
        <w:t>並且</w:t>
      </w:r>
      <w:r>
        <w:rPr>
          <w:rFonts w:ascii="Calibri" w:eastAsia="Calibri" w:hAnsi="Calibri" w:cs="Calibri"/>
          <w:color w:val="00000A"/>
          <w:sz w:val="24"/>
          <w:szCs w:val="24"/>
        </w:rPr>
        <w:t>做出適當的修正；提高大眾關注度</w:t>
      </w:r>
      <w:r w:rsidR="004D7B46">
        <w:rPr>
          <w:rFonts w:ascii="Calibri" w:eastAsia="Calibri" w:hAnsi="Calibri" w:cs="Calibri"/>
          <w:color w:val="00000A"/>
          <w:sz w:val="24"/>
          <w:szCs w:val="24"/>
        </w:rPr>
        <w:t>則</w:t>
      </w:r>
      <w:r>
        <w:rPr>
          <w:rFonts w:ascii="Calibri" w:eastAsia="Calibri" w:hAnsi="Calibri" w:cs="Calibri"/>
          <w:color w:val="00000A"/>
          <w:sz w:val="24"/>
          <w:szCs w:val="24"/>
        </w:rPr>
        <w:t>能讓更多人重視此物種，使保育團隊</w:t>
      </w:r>
      <w:r w:rsidR="004D7B46">
        <w:rPr>
          <w:rFonts w:ascii="Calibri" w:eastAsia="Calibri" w:hAnsi="Calibri" w:cs="Calibri"/>
          <w:color w:val="00000A"/>
          <w:sz w:val="24"/>
          <w:szCs w:val="24"/>
        </w:rPr>
        <w:t>在推動與資金人力募集上可</w:t>
      </w:r>
      <w:r>
        <w:rPr>
          <w:rFonts w:ascii="Calibri" w:eastAsia="Calibri" w:hAnsi="Calibri" w:cs="Calibri"/>
          <w:color w:val="00000A"/>
          <w:sz w:val="24"/>
          <w:szCs w:val="24"/>
        </w:rPr>
        <w:t>獲得更多助益。</w:t>
      </w:r>
    </w:p>
    <w:p w14:paraId="04280D6F" w14:textId="77777777" w:rsidR="002A1C85" w:rsidRDefault="002A1C85">
      <w:pPr>
        <w:pStyle w:val="10"/>
        <w:widowControl w:val="0"/>
        <w:spacing w:line="360" w:lineRule="auto"/>
        <w:jc w:val="both"/>
        <w:rPr>
          <w:rFonts w:ascii="Kinnari" w:eastAsia="Kinnari" w:hAnsi="Kinnari" w:cs="Kinnari"/>
          <w:color w:val="00000A"/>
          <w:sz w:val="24"/>
          <w:szCs w:val="24"/>
        </w:rPr>
      </w:pPr>
    </w:p>
    <w:p w14:paraId="0F980FDA"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因此保育成本</w:t>
      </w:r>
      <w:r w:rsidR="00373F40">
        <w:rPr>
          <w:rFonts w:ascii="Kinnari" w:eastAsia="Kinnari" w:hAnsi="Kinnari" w:cs="Kinnari"/>
          <w:color w:val="00000A"/>
          <w:sz w:val="24"/>
          <w:szCs w:val="24"/>
        </w:rPr>
        <w:t>的估算</w:t>
      </w:r>
      <w:r>
        <w:rPr>
          <w:rFonts w:ascii="Kinnari" w:eastAsia="Kinnari" w:hAnsi="Kinnari" w:cs="Kinnari"/>
          <w:color w:val="00000A"/>
          <w:sz w:val="24"/>
          <w:szCs w:val="24"/>
        </w:rPr>
        <w:t>可以從這四大項目去思考</w:t>
      </w:r>
      <w:r w:rsidR="00373F40">
        <w:rPr>
          <w:rFonts w:ascii="Kinnari" w:eastAsia="Kinnari" w:hAnsi="Kinnari" w:cs="Kinnari"/>
          <w:color w:val="00000A"/>
          <w:sz w:val="24"/>
          <w:szCs w:val="24"/>
        </w:rPr>
        <w:t>，首先</w:t>
      </w:r>
      <w:r>
        <w:rPr>
          <w:rFonts w:ascii="Kinnari" w:eastAsia="Kinnari" w:hAnsi="Kinnari" w:cs="Kinnari"/>
          <w:color w:val="00000A"/>
          <w:sz w:val="24"/>
          <w:szCs w:val="24"/>
        </w:rPr>
        <w:t>列出保育物種</w:t>
      </w:r>
      <w:r w:rsidR="00373F40">
        <w:rPr>
          <w:rFonts w:ascii="Kinnari" w:hAnsi="Kinnari" w:cs="Kinnari" w:hint="eastAsia"/>
          <w:color w:val="00000A"/>
          <w:sz w:val="24"/>
          <w:szCs w:val="24"/>
        </w:rPr>
        <w:t>A</w:t>
      </w:r>
      <w:r w:rsidR="00373F40">
        <w:rPr>
          <w:rFonts w:ascii="Kinnari" w:hAnsi="Kinnari" w:cs="Kinnari" w:hint="eastAsia"/>
          <w:color w:val="00000A"/>
          <w:sz w:val="24"/>
          <w:szCs w:val="24"/>
        </w:rPr>
        <w:t>應</w:t>
      </w:r>
      <w:r>
        <w:rPr>
          <w:rFonts w:ascii="Kinnari" w:eastAsia="Kinnari" w:hAnsi="Kinnari" w:cs="Kinnari"/>
          <w:color w:val="00000A"/>
          <w:sz w:val="24"/>
          <w:szCs w:val="24"/>
        </w:rPr>
        <w:t>採取的保育行動，接著評估各行動的成本。</w:t>
      </w:r>
      <w:r w:rsidR="00373F40">
        <w:rPr>
          <w:rFonts w:ascii="Kinnari" w:eastAsia="Kinnari" w:hAnsi="Kinnari" w:cs="Kinnari"/>
          <w:color w:val="00000A"/>
          <w:sz w:val="24"/>
          <w:szCs w:val="24"/>
        </w:rPr>
        <w:t>本文</w:t>
      </w:r>
      <w:r>
        <w:rPr>
          <w:rFonts w:ascii="Kinnari" w:eastAsia="Kinnari" w:hAnsi="Kinnari" w:cs="Kinnari"/>
          <w:color w:val="00000A"/>
          <w:sz w:val="24"/>
          <w:szCs w:val="24"/>
        </w:rPr>
        <w:t>建議</w:t>
      </w:r>
      <w:r w:rsidR="00373F40">
        <w:rPr>
          <w:rFonts w:ascii="Kinnari" w:eastAsia="Kinnari" w:hAnsi="Kinnari" w:cs="Kinnari"/>
          <w:color w:val="00000A"/>
          <w:sz w:val="24"/>
          <w:szCs w:val="24"/>
        </w:rPr>
        <w:t>為了快速進行估計</w:t>
      </w:r>
      <w:r w:rsidR="00202216">
        <w:rPr>
          <w:rFonts w:ascii="Kinnari" w:eastAsia="Kinnari" w:hAnsi="Kinnari" w:cs="Kinnari"/>
          <w:color w:val="00000A"/>
          <w:sz w:val="24"/>
          <w:szCs w:val="24"/>
        </w:rPr>
        <w:t>與比較</w:t>
      </w:r>
      <w:r w:rsidR="00373F40">
        <w:rPr>
          <w:rFonts w:ascii="Kinnari" w:eastAsia="Kinnari" w:hAnsi="Kinnari" w:cs="Kinnari"/>
          <w:color w:val="00000A"/>
          <w:sz w:val="24"/>
          <w:szCs w:val="24"/>
        </w:rPr>
        <w:t>，可以</w:t>
      </w:r>
      <w:r w:rsidR="00373F40">
        <w:rPr>
          <w:rFonts w:ascii="Kinnari" w:hAnsi="Kinnari" w:cs="Kinnari" w:hint="eastAsia"/>
          <w:color w:val="00000A"/>
          <w:sz w:val="24"/>
          <w:szCs w:val="24"/>
        </w:rPr>
        <w:t>先</w:t>
      </w:r>
      <w:r>
        <w:rPr>
          <w:rFonts w:ascii="Kinnari" w:eastAsia="Kinnari" w:hAnsi="Kinnari" w:cs="Kinnari"/>
          <w:color w:val="00000A"/>
          <w:sz w:val="24"/>
          <w:szCs w:val="24"/>
        </w:rPr>
        <w:t>將成本分成</w:t>
      </w:r>
      <w:r w:rsidR="00202216">
        <w:rPr>
          <w:rFonts w:ascii="Kinnari" w:eastAsia="Kinnari" w:hAnsi="Kinnari" w:cs="Kinnari"/>
          <w:color w:val="00000A"/>
          <w:sz w:val="24"/>
          <w:szCs w:val="24"/>
        </w:rPr>
        <w:t>幾</w:t>
      </w:r>
      <w:r>
        <w:rPr>
          <w:rFonts w:ascii="Kinnari" w:eastAsia="Kinnari" w:hAnsi="Kinnari" w:cs="Kinnari"/>
          <w:color w:val="00000A"/>
          <w:sz w:val="24"/>
          <w:szCs w:val="24"/>
        </w:rPr>
        <w:t>個</w:t>
      </w:r>
      <w:r w:rsidR="00202216">
        <w:rPr>
          <w:rFonts w:ascii="Kinnari" w:eastAsia="Kinnari" w:hAnsi="Kinnari" w:cs="Kinnari"/>
          <w:color w:val="00000A"/>
          <w:sz w:val="24"/>
          <w:szCs w:val="24"/>
        </w:rPr>
        <w:t>不同數量</w:t>
      </w:r>
      <w:r>
        <w:rPr>
          <w:rFonts w:ascii="Kinnari" w:eastAsia="Kinnari" w:hAnsi="Kinnari" w:cs="Kinnari"/>
          <w:color w:val="00000A"/>
          <w:sz w:val="24"/>
          <w:szCs w:val="24"/>
        </w:rPr>
        <w:t>級</w:t>
      </w:r>
      <w:r w:rsidR="00202216">
        <w:rPr>
          <w:rFonts w:ascii="Kinnari" w:eastAsia="Kinnari" w:hAnsi="Kinnari" w:cs="Kinnari"/>
          <w:color w:val="00000A"/>
          <w:sz w:val="24"/>
          <w:szCs w:val="24"/>
        </w:rPr>
        <w:t>快速</w:t>
      </w:r>
      <w:r>
        <w:rPr>
          <w:rFonts w:ascii="Kinnari" w:eastAsia="Kinnari" w:hAnsi="Kinnari" w:cs="Kinnari"/>
          <w:color w:val="00000A"/>
          <w:sz w:val="24"/>
          <w:szCs w:val="24"/>
        </w:rPr>
        <w:t>評估(如表</w:t>
      </w:r>
      <w:r w:rsidR="00202216">
        <w:rPr>
          <w:rFonts w:ascii="新細明體" w:eastAsia="新細明體" w:hAnsi="新細明體" w:cs="新細明體" w:hint="eastAsia"/>
          <w:color w:val="00000A"/>
          <w:sz w:val="24"/>
          <w:szCs w:val="24"/>
        </w:rPr>
        <w:t>6</w:t>
      </w:r>
      <w:r>
        <w:rPr>
          <w:rFonts w:ascii="Kinnari" w:eastAsia="Kinnari" w:hAnsi="Kinnari" w:cs="Kinnari"/>
          <w:color w:val="00000A"/>
          <w:sz w:val="24"/>
          <w:szCs w:val="24"/>
        </w:rPr>
        <w:t>)，</w:t>
      </w:r>
      <w:r w:rsidR="00202216">
        <w:rPr>
          <w:rFonts w:ascii="Kinnari" w:eastAsia="Kinnari" w:hAnsi="Kinnari" w:cs="Kinnari"/>
          <w:color w:val="00000A"/>
          <w:sz w:val="24"/>
          <w:szCs w:val="24"/>
        </w:rPr>
        <w:t>暫時先</w:t>
      </w:r>
      <w:r>
        <w:rPr>
          <w:rFonts w:ascii="Kinnari" w:eastAsia="Kinnari" w:hAnsi="Kinnari" w:cs="Kinnari"/>
          <w:color w:val="00000A"/>
          <w:sz w:val="24"/>
          <w:szCs w:val="24"/>
        </w:rPr>
        <w:t>不直接評估出費用。接</w:t>
      </w:r>
      <w:r>
        <w:rPr>
          <w:rFonts w:ascii="Kinnari" w:eastAsia="Kinnari" w:hAnsi="Kinnari" w:cs="Kinnari"/>
          <w:color w:val="00000A"/>
          <w:sz w:val="24"/>
          <w:szCs w:val="24"/>
        </w:rPr>
        <w:lastRenderedPageBreak/>
        <w:t>著物種</w:t>
      </w:r>
      <w:r w:rsidR="00202216">
        <w:rPr>
          <w:rFonts w:ascii="Kinnari" w:hAnsi="Kinnari" w:cs="Kinnari" w:hint="eastAsia"/>
          <w:color w:val="00000A"/>
          <w:sz w:val="24"/>
          <w:szCs w:val="24"/>
        </w:rPr>
        <w:t>A</w:t>
      </w:r>
      <w:r w:rsidR="00202216">
        <w:rPr>
          <w:rFonts w:ascii="Kinnari" w:eastAsia="Kinnari" w:hAnsi="Kinnari" w:cs="Kinnari"/>
          <w:color w:val="00000A"/>
          <w:sz w:val="24"/>
          <w:szCs w:val="24"/>
        </w:rPr>
        <w:t>執行保育的</w:t>
      </w:r>
      <w:r>
        <w:rPr>
          <w:rFonts w:ascii="Kinnari" w:eastAsia="Kinnari" w:hAnsi="Kinnari" w:cs="Kinnari"/>
          <w:color w:val="00000A"/>
          <w:sz w:val="24"/>
          <w:szCs w:val="24"/>
        </w:rPr>
        <w:t>行動成本列出(如: 3項低成本、5項中成本、1項極高成本)，加權計算比較之後即可估計出哪個物種的保育成本較高或較低。</w:t>
      </w:r>
    </w:p>
    <w:p w14:paraId="57A4DE55" w14:textId="77777777" w:rsidR="002A1C85" w:rsidRDefault="002A1C85">
      <w:pPr>
        <w:pStyle w:val="10"/>
        <w:widowControl w:val="0"/>
        <w:spacing w:line="360" w:lineRule="auto"/>
        <w:jc w:val="both"/>
        <w:rPr>
          <w:rFonts w:ascii="Kinnari" w:eastAsia="Kinnari" w:hAnsi="Kinnari" w:cs="Kinnari"/>
          <w:color w:val="00000A"/>
          <w:sz w:val="24"/>
          <w:szCs w:val="24"/>
        </w:rPr>
      </w:pPr>
    </w:p>
    <w:p w14:paraId="6AF24F4C"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w:t>
      </w:r>
      <w:r w:rsidR="00202216">
        <w:rPr>
          <w:rFonts w:ascii="新細明體" w:eastAsia="新細明體" w:hAnsi="新細明體" w:cs="新細明體" w:hint="eastAsia"/>
          <w:color w:val="00000A"/>
          <w:sz w:val="24"/>
          <w:szCs w:val="24"/>
        </w:rPr>
        <w:t>6</w:t>
      </w:r>
      <w:r>
        <w:rPr>
          <w:rFonts w:ascii="Kinnari" w:eastAsia="Kinnari" w:hAnsi="Kinnari" w:cs="Kinnari"/>
          <w:color w:val="00000A"/>
          <w:sz w:val="24"/>
          <w:szCs w:val="24"/>
        </w:rPr>
        <w:t>、保育行動成本等級定義(參考範例)</w:t>
      </w:r>
    </w:p>
    <w:tbl>
      <w:tblPr>
        <w:tblStyle w:val="aa"/>
        <w:tblW w:w="7110"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511"/>
        <w:gridCol w:w="1134"/>
        <w:gridCol w:w="1134"/>
        <w:gridCol w:w="1501"/>
        <w:gridCol w:w="644"/>
      </w:tblGrid>
      <w:tr w:rsidR="002A1C85" w14:paraId="09F39D4D" w14:textId="77777777">
        <w:tc>
          <w:tcPr>
            <w:tcW w:w="1186" w:type="dxa"/>
            <w:tcBorders>
              <w:top w:val="nil"/>
              <w:left w:val="nil"/>
              <w:bottom w:val="nil"/>
              <w:right w:val="nil"/>
            </w:tcBorders>
          </w:tcPr>
          <w:p w14:paraId="6CD91071" w14:textId="77777777" w:rsidR="002A1C85" w:rsidRDefault="002A1C85">
            <w:pPr>
              <w:pStyle w:val="10"/>
              <w:widowControl w:val="0"/>
              <w:spacing w:line="360" w:lineRule="auto"/>
              <w:jc w:val="both"/>
              <w:rPr>
                <w:rFonts w:ascii="Kinnari" w:eastAsia="Kinnari" w:hAnsi="Kinnari" w:cs="Kinnari"/>
                <w:color w:val="00000A"/>
              </w:rPr>
            </w:pPr>
          </w:p>
        </w:tc>
        <w:tc>
          <w:tcPr>
            <w:tcW w:w="5924" w:type="dxa"/>
            <w:gridSpan w:val="5"/>
            <w:tcBorders>
              <w:top w:val="nil"/>
              <w:left w:val="nil"/>
              <w:right w:val="nil"/>
            </w:tcBorders>
          </w:tcPr>
          <w:p w14:paraId="5E58A660"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評估方式*</w:t>
            </w:r>
          </w:p>
        </w:tc>
      </w:tr>
      <w:tr w:rsidR="002A1C85" w14:paraId="2D4F7FAD" w14:textId="77777777">
        <w:tc>
          <w:tcPr>
            <w:tcW w:w="1186" w:type="dxa"/>
            <w:tcBorders>
              <w:top w:val="nil"/>
              <w:left w:val="nil"/>
              <w:bottom w:val="single" w:sz="12" w:space="0" w:color="00000A"/>
              <w:right w:val="nil"/>
            </w:tcBorders>
          </w:tcPr>
          <w:p w14:paraId="61E64014"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成本等級</w:t>
            </w:r>
          </w:p>
        </w:tc>
        <w:tc>
          <w:tcPr>
            <w:tcW w:w="1511" w:type="dxa"/>
            <w:tcBorders>
              <w:top w:val="single" w:sz="12" w:space="0" w:color="00000A"/>
              <w:left w:val="nil"/>
              <w:bottom w:val="single" w:sz="12" w:space="0" w:color="00000A"/>
              <w:right w:val="nil"/>
            </w:tcBorders>
          </w:tcPr>
          <w:p w14:paraId="59352671"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工作天×頻度×年**</w:t>
            </w:r>
          </w:p>
        </w:tc>
        <w:tc>
          <w:tcPr>
            <w:tcW w:w="1134" w:type="dxa"/>
            <w:tcBorders>
              <w:top w:val="single" w:sz="12" w:space="0" w:color="00000A"/>
              <w:left w:val="nil"/>
              <w:bottom w:val="single" w:sz="12" w:space="0" w:color="00000A"/>
              <w:right w:val="nil"/>
            </w:tcBorders>
          </w:tcPr>
          <w:p w14:paraId="67109B75"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執行</w:t>
            </w:r>
          </w:p>
          <w:p w14:paraId="0328D29D"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單位數</w:t>
            </w:r>
          </w:p>
        </w:tc>
        <w:tc>
          <w:tcPr>
            <w:tcW w:w="1134" w:type="dxa"/>
            <w:tcBorders>
              <w:top w:val="single" w:sz="12" w:space="0" w:color="00000A"/>
              <w:left w:val="nil"/>
              <w:bottom w:val="single" w:sz="12" w:space="0" w:color="00000A"/>
              <w:right w:val="nil"/>
            </w:tcBorders>
          </w:tcPr>
          <w:p w14:paraId="50249538"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工程數</w:t>
            </w:r>
          </w:p>
        </w:tc>
        <w:tc>
          <w:tcPr>
            <w:tcW w:w="1501" w:type="dxa"/>
            <w:tcBorders>
              <w:top w:val="single" w:sz="12" w:space="0" w:color="00000A"/>
              <w:left w:val="nil"/>
              <w:bottom w:val="single" w:sz="12" w:space="0" w:color="00000A"/>
              <w:right w:val="nil"/>
            </w:tcBorders>
          </w:tcPr>
          <w:p w14:paraId="267D6A6D"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政策影響人數</w:t>
            </w:r>
          </w:p>
        </w:tc>
        <w:tc>
          <w:tcPr>
            <w:tcW w:w="644" w:type="dxa"/>
            <w:tcBorders>
              <w:top w:val="single" w:sz="12" w:space="0" w:color="00000A"/>
              <w:left w:val="nil"/>
              <w:bottom w:val="single" w:sz="12" w:space="0" w:color="00000A"/>
              <w:right w:val="nil"/>
            </w:tcBorders>
          </w:tcPr>
          <w:p w14:paraId="3468A35A"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155019DF" w14:textId="77777777">
        <w:tc>
          <w:tcPr>
            <w:tcW w:w="1186" w:type="dxa"/>
            <w:tcBorders>
              <w:top w:val="single" w:sz="12" w:space="0" w:color="00000A"/>
              <w:left w:val="nil"/>
              <w:bottom w:val="nil"/>
              <w:right w:val="single" w:sz="12" w:space="0" w:color="00000A"/>
            </w:tcBorders>
          </w:tcPr>
          <w:p w14:paraId="5DE1CA5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低</w:t>
            </w:r>
          </w:p>
        </w:tc>
        <w:tc>
          <w:tcPr>
            <w:tcW w:w="1511" w:type="dxa"/>
            <w:tcBorders>
              <w:top w:val="single" w:sz="12" w:space="0" w:color="00000A"/>
              <w:left w:val="single" w:sz="12" w:space="0" w:color="00000A"/>
              <w:bottom w:val="nil"/>
              <w:right w:val="nil"/>
            </w:tcBorders>
            <w:tcMar>
              <w:left w:w="-15" w:type="dxa"/>
            </w:tcMar>
          </w:tcPr>
          <w:p w14:paraId="3A1D4CAB"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&lt;50</w:t>
            </w:r>
          </w:p>
        </w:tc>
        <w:tc>
          <w:tcPr>
            <w:tcW w:w="1134" w:type="dxa"/>
            <w:tcBorders>
              <w:top w:val="single" w:sz="12" w:space="0" w:color="00000A"/>
              <w:left w:val="nil"/>
              <w:bottom w:val="nil"/>
              <w:right w:val="nil"/>
            </w:tcBorders>
          </w:tcPr>
          <w:p w14:paraId="111311C4"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tc>
        <w:tc>
          <w:tcPr>
            <w:tcW w:w="1134" w:type="dxa"/>
            <w:tcBorders>
              <w:top w:val="single" w:sz="12" w:space="0" w:color="00000A"/>
              <w:left w:val="nil"/>
              <w:bottom w:val="nil"/>
              <w:right w:val="nil"/>
            </w:tcBorders>
          </w:tcPr>
          <w:p w14:paraId="239D5749"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0</w:t>
            </w:r>
          </w:p>
        </w:tc>
        <w:tc>
          <w:tcPr>
            <w:tcW w:w="1501" w:type="dxa"/>
            <w:tcBorders>
              <w:top w:val="single" w:sz="12" w:space="0" w:color="00000A"/>
              <w:left w:val="nil"/>
              <w:bottom w:val="nil"/>
              <w:right w:val="nil"/>
            </w:tcBorders>
          </w:tcPr>
          <w:p w14:paraId="662A3F25" w14:textId="77777777" w:rsidR="002A1C85" w:rsidRDefault="002A1C85">
            <w:pPr>
              <w:pStyle w:val="10"/>
              <w:widowControl w:val="0"/>
              <w:spacing w:line="360" w:lineRule="auto"/>
              <w:jc w:val="right"/>
              <w:rPr>
                <w:rFonts w:ascii="Kinnari" w:eastAsia="Kinnari" w:hAnsi="Kinnari" w:cs="Kinnari"/>
                <w:color w:val="00000A"/>
                <w:sz w:val="16"/>
                <w:szCs w:val="16"/>
              </w:rPr>
            </w:pPr>
          </w:p>
        </w:tc>
        <w:tc>
          <w:tcPr>
            <w:tcW w:w="644" w:type="dxa"/>
            <w:tcBorders>
              <w:top w:val="single" w:sz="12" w:space="0" w:color="00000A"/>
              <w:left w:val="nil"/>
              <w:bottom w:val="nil"/>
              <w:right w:val="nil"/>
            </w:tcBorders>
          </w:tcPr>
          <w:p w14:paraId="7DC54E0C"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2427D84B" w14:textId="77777777">
        <w:tc>
          <w:tcPr>
            <w:tcW w:w="1186" w:type="dxa"/>
            <w:tcBorders>
              <w:top w:val="nil"/>
              <w:left w:val="nil"/>
              <w:bottom w:val="nil"/>
              <w:right w:val="single" w:sz="12" w:space="0" w:color="00000A"/>
            </w:tcBorders>
          </w:tcPr>
          <w:p w14:paraId="3CFD4F10"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中</w:t>
            </w:r>
          </w:p>
        </w:tc>
        <w:tc>
          <w:tcPr>
            <w:tcW w:w="1511" w:type="dxa"/>
            <w:tcBorders>
              <w:top w:val="nil"/>
              <w:left w:val="single" w:sz="12" w:space="0" w:color="00000A"/>
              <w:bottom w:val="nil"/>
              <w:right w:val="nil"/>
            </w:tcBorders>
            <w:tcMar>
              <w:left w:w="-15" w:type="dxa"/>
            </w:tcMar>
          </w:tcPr>
          <w:p w14:paraId="5CCEE47D"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Kinnari" w:eastAsia="Kinnari" w:hAnsi="Kinnari" w:cs="Kinnari"/>
                <w:color w:val="00000A"/>
                <w:sz w:val="16"/>
                <w:szCs w:val="16"/>
              </w:rPr>
              <w:t>50~124</w:t>
            </w:r>
          </w:p>
        </w:tc>
        <w:tc>
          <w:tcPr>
            <w:tcW w:w="1134" w:type="dxa"/>
            <w:tcBorders>
              <w:top w:val="nil"/>
              <w:left w:val="nil"/>
              <w:bottom w:val="nil"/>
              <w:right w:val="nil"/>
            </w:tcBorders>
          </w:tcPr>
          <w:p w14:paraId="08207AC9"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2~3</w:t>
            </w:r>
          </w:p>
        </w:tc>
        <w:tc>
          <w:tcPr>
            <w:tcW w:w="1134" w:type="dxa"/>
            <w:tcBorders>
              <w:top w:val="nil"/>
              <w:left w:val="nil"/>
              <w:bottom w:val="nil"/>
              <w:right w:val="nil"/>
            </w:tcBorders>
          </w:tcPr>
          <w:p w14:paraId="61132FA8"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0</w:t>
            </w:r>
          </w:p>
        </w:tc>
        <w:tc>
          <w:tcPr>
            <w:tcW w:w="1501" w:type="dxa"/>
            <w:tcBorders>
              <w:top w:val="nil"/>
              <w:left w:val="nil"/>
              <w:bottom w:val="nil"/>
              <w:right w:val="nil"/>
            </w:tcBorders>
          </w:tcPr>
          <w:p w14:paraId="38183A8A"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少</w:t>
            </w:r>
          </w:p>
        </w:tc>
        <w:tc>
          <w:tcPr>
            <w:tcW w:w="644" w:type="dxa"/>
            <w:tcBorders>
              <w:top w:val="nil"/>
              <w:left w:val="nil"/>
              <w:bottom w:val="nil"/>
              <w:right w:val="nil"/>
            </w:tcBorders>
          </w:tcPr>
          <w:p w14:paraId="148A994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26BFEA55" w14:textId="77777777">
        <w:tc>
          <w:tcPr>
            <w:tcW w:w="1186" w:type="dxa"/>
            <w:tcBorders>
              <w:top w:val="nil"/>
              <w:left w:val="nil"/>
              <w:bottom w:val="nil"/>
              <w:right w:val="single" w:sz="12" w:space="0" w:color="00000A"/>
            </w:tcBorders>
          </w:tcPr>
          <w:p w14:paraId="27A18D5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高</w:t>
            </w:r>
          </w:p>
        </w:tc>
        <w:tc>
          <w:tcPr>
            <w:tcW w:w="1511" w:type="dxa"/>
            <w:tcBorders>
              <w:top w:val="nil"/>
              <w:left w:val="single" w:sz="12" w:space="0" w:color="00000A"/>
              <w:bottom w:val="nil"/>
              <w:right w:val="nil"/>
            </w:tcBorders>
            <w:tcMar>
              <w:left w:w="-15" w:type="dxa"/>
            </w:tcMar>
          </w:tcPr>
          <w:p w14:paraId="7BB8F3A3"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125~200</w:t>
            </w:r>
          </w:p>
        </w:tc>
        <w:tc>
          <w:tcPr>
            <w:tcW w:w="1134" w:type="dxa"/>
            <w:tcBorders>
              <w:top w:val="nil"/>
              <w:left w:val="nil"/>
              <w:bottom w:val="nil"/>
              <w:right w:val="nil"/>
            </w:tcBorders>
          </w:tcPr>
          <w:p w14:paraId="01679FAB"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4~7</w:t>
            </w:r>
          </w:p>
        </w:tc>
        <w:tc>
          <w:tcPr>
            <w:tcW w:w="1134" w:type="dxa"/>
            <w:tcBorders>
              <w:top w:val="nil"/>
              <w:left w:val="nil"/>
              <w:bottom w:val="nil"/>
              <w:right w:val="nil"/>
            </w:tcBorders>
          </w:tcPr>
          <w:p w14:paraId="7F650283"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0</w:t>
            </w:r>
          </w:p>
        </w:tc>
        <w:tc>
          <w:tcPr>
            <w:tcW w:w="1501" w:type="dxa"/>
            <w:tcBorders>
              <w:top w:val="nil"/>
              <w:left w:val="nil"/>
              <w:bottom w:val="nil"/>
              <w:right w:val="nil"/>
            </w:tcBorders>
          </w:tcPr>
          <w:p w14:paraId="611E5FEA"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中</w:t>
            </w:r>
          </w:p>
        </w:tc>
        <w:tc>
          <w:tcPr>
            <w:tcW w:w="644" w:type="dxa"/>
            <w:tcBorders>
              <w:top w:val="nil"/>
              <w:left w:val="nil"/>
              <w:bottom w:val="nil"/>
              <w:right w:val="nil"/>
            </w:tcBorders>
          </w:tcPr>
          <w:p w14:paraId="655270D8"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7CD22A02" w14:textId="77777777">
        <w:tc>
          <w:tcPr>
            <w:tcW w:w="1186" w:type="dxa"/>
            <w:tcBorders>
              <w:top w:val="nil"/>
              <w:left w:val="nil"/>
              <w:bottom w:val="single" w:sz="4" w:space="0" w:color="00000A"/>
              <w:right w:val="single" w:sz="12" w:space="0" w:color="00000A"/>
            </w:tcBorders>
          </w:tcPr>
          <w:p w14:paraId="2B8D8CE1"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極高</w:t>
            </w:r>
          </w:p>
        </w:tc>
        <w:tc>
          <w:tcPr>
            <w:tcW w:w="1511" w:type="dxa"/>
            <w:tcBorders>
              <w:top w:val="nil"/>
              <w:left w:val="single" w:sz="12" w:space="0" w:color="00000A"/>
              <w:bottom w:val="single" w:sz="4" w:space="0" w:color="00000A"/>
              <w:right w:val="nil"/>
            </w:tcBorders>
            <w:tcMar>
              <w:left w:w="-15" w:type="dxa"/>
            </w:tcMar>
          </w:tcPr>
          <w:p w14:paraId="706270F2"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≧200</w:t>
            </w:r>
          </w:p>
        </w:tc>
        <w:tc>
          <w:tcPr>
            <w:tcW w:w="1134" w:type="dxa"/>
            <w:tcBorders>
              <w:top w:val="nil"/>
              <w:left w:val="nil"/>
              <w:bottom w:val="single" w:sz="4" w:space="0" w:color="00000A"/>
              <w:right w:val="nil"/>
            </w:tcBorders>
          </w:tcPr>
          <w:p w14:paraId="0B93F29F"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≧8</w:t>
            </w:r>
          </w:p>
        </w:tc>
        <w:tc>
          <w:tcPr>
            <w:tcW w:w="1134" w:type="dxa"/>
            <w:tcBorders>
              <w:top w:val="nil"/>
              <w:left w:val="nil"/>
              <w:bottom w:val="single" w:sz="4" w:space="0" w:color="00000A"/>
              <w:right w:val="nil"/>
            </w:tcBorders>
          </w:tcPr>
          <w:p w14:paraId="45CF773B"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tc>
        <w:tc>
          <w:tcPr>
            <w:tcW w:w="1501" w:type="dxa"/>
            <w:tcBorders>
              <w:top w:val="nil"/>
              <w:left w:val="nil"/>
              <w:bottom w:val="single" w:sz="4" w:space="0" w:color="00000A"/>
              <w:right w:val="nil"/>
            </w:tcBorders>
          </w:tcPr>
          <w:p w14:paraId="431DF87C"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多</w:t>
            </w:r>
          </w:p>
        </w:tc>
        <w:tc>
          <w:tcPr>
            <w:tcW w:w="644" w:type="dxa"/>
            <w:tcBorders>
              <w:top w:val="nil"/>
              <w:left w:val="nil"/>
              <w:bottom w:val="single" w:sz="4" w:space="0" w:color="00000A"/>
              <w:right w:val="nil"/>
            </w:tcBorders>
          </w:tcPr>
          <w:p w14:paraId="6FD29605"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bl>
    <w:p w14:paraId="25A29A05"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*依據該保育行動內容使用適合的評估方式判別成本等級</w:t>
      </w:r>
    </w:p>
    <w:p w14:paraId="69FB7F11"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**單次保育行動的工作天數(如實施一次外來種移除)×每年執行幾次×持續幾年</w:t>
      </w:r>
    </w:p>
    <w:p w14:paraId="7046936D" w14:textId="77777777" w:rsidR="002A1C85" w:rsidRDefault="002A1C85">
      <w:pPr>
        <w:pStyle w:val="10"/>
        <w:widowControl w:val="0"/>
        <w:spacing w:line="360" w:lineRule="auto"/>
        <w:jc w:val="both"/>
        <w:rPr>
          <w:rFonts w:ascii="Kinnari" w:eastAsia="Kinnari" w:hAnsi="Kinnari" w:cs="Kinnari"/>
          <w:color w:val="00000A"/>
          <w:sz w:val="24"/>
          <w:szCs w:val="24"/>
        </w:rPr>
      </w:pPr>
    </w:p>
    <w:p w14:paraId="5E92BE2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例如，假設A物種的主要受脅原因為棲地破壞、及外來種入侵，而專家提出需要採取的保育行動及預估成本如下:</w:t>
      </w:r>
    </w:p>
    <w:p w14:paraId="3E9593E4" w14:textId="77777777" w:rsidR="002A1C85" w:rsidRDefault="002A1C85">
      <w:pPr>
        <w:pStyle w:val="10"/>
        <w:widowControl w:val="0"/>
        <w:spacing w:line="360" w:lineRule="auto"/>
        <w:jc w:val="both"/>
        <w:rPr>
          <w:rFonts w:ascii="Kinnari" w:eastAsia="Kinnari" w:hAnsi="Kinnari" w:cs="Kinnari"/>
          <w:color w:val="00000A"/>
          <w:sz w:val="24"/>
          <w:szCs w:val="24"/>
        </w:rPr>
      </w:pPr>
    </w:p>
    <w:p w14:paraId="0B5774BD" w14:textId="77777777" w:rsidR="002A1C85" w:rsidRDefault="001217C9">
      <w:pPr>
        <w:pStyle w:val="10"/>
        <w:widowControl w:val="0"/>
        <w:spacing w:line="360" w:lineRule="auto"/>
        <w:ind w:left="1916" w:hanging="1916"/>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調查: </w:t>
      </w:r>
      <w:r>
        <w:rPr>
          <w:rFonts w:ascii="Kinnari" w:eastAsia="Kinnari" w:hAnsi="Kinnari" w:cs="Kinnari"/>
          <w:color w:val="00000A"/>
          <w:sz w:val="24"/>
          <w:szCs w:val="24"/>
        </w:rPr>
        <w:tab/>
        <w:t>核心族群調查(低)、外來種威脅機制調查(低)、生活史調查(低)、歷史分布及棲地劣化狀況調查(中)</w:t>
      </w:r>
    </w:p>
    <w:p w14:paraId="35262125" w14:textId="77777777" w:rsidR="002A1C85" w:rsidRDefault="001217C9">
      <w:pPr>
        <w:pStyle w:val="10"/>
        <w:widowControl w:val="0"/>
        <w:spacing w:line="360" w:lineRule="auto"/>
        <w:ind w:left="1916" w:hanging="1912"/>
        <w:jc w:val="both"/>
        <w:rPr>
          <w:rFonts w:ascii="新細明體" w:eastAsia="新細明體" w:hAnsi="新細明體" w:cs="新細明體"/>
          <w:color w:val="00000A"/>
          <w:sz w:val="24"/>
          <w:szCs w:val="24"/>
        </w:rPr>
      </w:pPr>
      <w:r>
        <w:rPr>
          <w:rFonts w:ascii="Kinnari" w:eastAsia="Kinnari" w:hAnsi="Kinnari" w:cs="Kinnari"/>
          <w:color w:val="00000A"/>
          <w:sz w:val="24"/>
          <w:szCs w:val="24"/>
        </w:rPr>
        <w:t>干預:</w:t>
      </w:r>
      <w:r>
        <w:rPr>
          <w:rFonts w:ascii="Kinnari" w:eastAsia="Kinnari" w:hAnsi="Kinnari" w:cs="Kinnari"/>
          <w:color w:val="00000A"/>
          <w:sz w:val="24"/>
          <w:szCs w:val="24"/>
        </w:rPr>
        <w:tab/>
        <w:t>阻隔外來種入侵剩餘棲地(高)、阻隔棲地劣化的因子(高)、將劣化棲地復育(極高)、成立保護區(高)、圈養個體並定期野放(低)</w:t>
      </w:r>
    </w:p>
    <w:p w14:paraId="12D261E9" w14:textId="77777777" w:rsidR="002A1C85" w:rsidRDefault="001217C9">
      <w:pPr>
        <w:pStyle w:val="10"/>
        <w:widowControl w:val="0"/>
        <w:spacing w:line="360" w:lineRule="auto"/>
        <w:ind w:left="1916" w:hanging="1916"/>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監測: </w:t>
      </w:r>
      <w:r>
        <w:rPr>
          <w:rFonts w:ascii="Kinnari" w:eastAsia="Kinnari" w:hAnsi="Kinnari" w:cs="Kinnari"/>
          <w:color w:val="00000A"/>
          <w:sz w:val="24"/>
          <w:szCs w:val="24"/>
        </w:rPr>
        <w:tab/>
        <w:t>棲地環境監測(中)、核心族群量監測(中)、大眾關注度監測(低)</w:t>
      </w:r>
    </w:p>
    <w:p w14:paraId="2C02D67A" w14:textId="77777777" w:rsidR="002A1C85" w:rsidRDefault="001217C9">
      <w:pPr>
        <w:pStyle w:val="10"/>
        <w:widowControl w:val="0"/>
        <w:spacing w:line="360" w:lineRule="auto"/>
        <w:ind w:left="1916" w:hanging="1916"/>
        <w:jc w:val="both"/>
        <w:rPr>
          <w:rFonts w:ascii="新細明體" w:eastAsia="新細明體" w:hAnsi="新細明體" w:cs="新細明體"/>
          <w:color w:val="00000A"/>
          <w:sz w:val="24"/>
          <w:szCs w:val="24"/>
        </w:rPr>
      </w:pPr>
      <w:r>
        <w:rPr>
          <w:rFonts w:ascii="Kinnari" w:eastAsia="Kinnari" w:hAnsi="Kinnari" w:cs="Kinnari"/>
          <w:color w:val="00000A"/>
          <w:sz w:val="24"/>
          <w:szCs w:val="24"/>
        </w:rPr>
        <w:t>大眾關注度:</w:t>
      </w:r>
      <w:r>
        <w:rPr>
          <w:rFonts w:ascii="Kinnari" w:eastAsia="Kinnari" w:hAnsi="Kinnari" w:cs="Kinnari"/>
          <w:color w:val="00000A"/>
          <w:sz w:val="24"/>
          <w:szCs w:val="24"/>
        </w:rPr>
        <w:tab/>
        <w:t>提高民眾重視這個物種的比例(中)、促進該物種成為生態保育的標誌(中)</w:t>
      </w:r>
    </w:p>
    <w:p w14:paraId="03EACDF5" w14:textId="77777777" w:rsidR="002A1C85" w:rsidRDefault="002A1C85">
      <w:pPr>
        <w:pStyle w:val="10"/>
        <w:widowControl w:val="0"/>
        <w:spacing w:line="360" w:lineRule="auto"/>
        <w:jc w:val="both"/>
        <w:rPr>
          <w:rFonts w:ascii="Kinnari" w:eastAsia="Kinnari" w:hAnsi="Kinnari" w:cs="Kinnari"/>
          <w:color w:val="00000A"/>
          <w:sz w:val="24"/>
          <w:szCs w:val="24"/>
        </w:rPr>
      </w:pPr>
    </w:p>
    <w:p w14:paraId="61EBD5FE"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總計需採取的保育行動有14項，其中保育成本極高1項、高3項、中5項、低</w:t>
      </w:r>
      <w:r>
        <w:rPr>
          <w:rFonts w:ascii="Kinnari" w:eastAsia="Kinnari" w:hAnsi="Kinnari" w:cs="Kinnari"/>
          <w:color w:val="00000A"/>
          <w:sz w:val="24"/>
          <w:szCs w:val="24"/>
        </w:rPr>
        <w:lastRenderedPageBreak/>
        <w:t>5項。假設</w:t>
      </w:r>
      <w:r w:rsidR="00202216">
        <w:rPr>
          <w:rFonts w:ascii="Kinnari" w:eastAsia="Kinnari" w:hAnsi="Kinnari" w:cs="Kinnari"/>
          <w:color w:val="00000A"/>
          <w:sz w:val="24"/>
          <w:szCs w:val="24"/>
        </w:rPr>
        <w:t>各個等級</w:t>
      </w:r>
      <w:r>
        <w:rPr>
          <w:rFonts w:ascii="Kinnari" w:eastAsia="Kinnari" w:hAnsi="Kinnari" w:cs="Kinnari"/>
          <w:color w:val="00000A"/>
          <w:sz w:val="24"/>
          <w:szCs w:val="24"/>
        </w:rPr>
        <w:t>設定的加權</w:t>
      </w:r>
      <w:r w:rsidR="00202216">
        <w:rPr>
          <w:rFonts w:ascii="Kinnari" w:eastAsia="Kinnari" w:hAnsi="Kinnari" w:cs="Kinnari"/>
          <w:color w:val="00000A"/>
          <w:sz w:val="24"/>
          <w:szCs w:val="24"/>
        </w:rPr>
        <w:t>比例分別</w:t>
      </w:r>
      <w:r>
        <w:rPr>
          <w:rFonts w:ascii="Kinnari" w:eastAsia="Kinnari" w:hAnsi="Kinnari" w:cs="Kinnari"/>
          <w:color w:val="00000A"/>
          <w:sz w:val="24"/>
          <w:szCs w:val="24"/>
        </w:rPr>
        <w:t>為10:5:3:1，則該物種的保育成本數值為10×1+5×3+3×5+1×5 = 45。</w:t>
      </w:r>
    </w:p>
    <w:p w14:paraId="2F7D4EA3" w14:textId="77777777" w:rsidR="002A1C85" w:rsidRDefault="002A1C85">
      <w:pPr>
        <w:pStyle w:val="10"/>
        <w:widowControl w:val="0"/>
        <w:spacing w:line="360" w:lineRule="auto"/>
        <w:jc w:val="both"/>
        <w:rPr>
          <w:rFonts w:ascii="Kinnari" w:eastAsia="Kinnari" w:hAnsi="Kinnari" w:cs="Kinnari"/>
          <w:color w:val="00000A"/>
          <w:sz w:val="24"/>
          <w:szCs w:val="24"/>
        </w:rPr>
      </w:pPr>
    </w:p>
    <w:p w14:paraId="753E8320"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w:t>
      </w:r>
      <w:r w:rsidR="002E2AF2">
        <w:rPr>
          <w:rFonts w:ascii="Kinnari" w:hAnsi="Kinnari" w:cs="Kinnari" w:hint="eastAsia"/>
          <w:color w:val="00000A"/>
          <w:sz w:val="24"/>
          <w:szCs w:val="24"/>
        </w:rPr>
        <w:t>其他</w:t>
      </w:r>
      <w:r>
        <w:rPr>
          <w:rFonts w:ascii="Kinnari" w:eastAsia="Kinnari" w:hAnsi="Kinnari" w:cs="Kinnari"/>
          <w:color w:val="00000A"/>
          <w:sz w:val="24"/>
          <w:szCs w:val="24"/>
        </w:rPr>
        <w:t>討論</w:t>
      </w:r>
      <w:r w:rsidR="002E2AF2">
        <w:rPr>
          <w:rFonts w:ascii="Kinnari" w:eastAsia="Kinnari" w:hAnsi="Kinnari" w:cs="Kinnari"/>
          <w:color w:val="00000A"/>
          <w:sz w:val="24"/>
          <w:szCs w:val="24"/>
        </w:rPr>
        <w:t>：實際進行評估可能面對的問題</w:t>
      </w:r>
      <w:r>
        <w:rPr>
          <w:rFonts w:ascii="Kinnari" w:eastAsia="Kinnari" w:hAnsi="Kinnari" w:cs="Kinnari"/>
          <w:color w:val="00000A"/>
          <w:sz w:val="24"/>
          <w:szCs w:val="24"/>
        </w:rPr>
        <w:t>&gt;</w:t>
      </w:r>
    </w:p>
    <w:p w14:paraId="7A396080" w14:textId="77777777" w:rsidR="002A1C85" w:rsidRDefault="002A1C85">
      <w:pPr>
        <w:pStyle w:val="10"/>
        <w:widowControl w:val="0"/>
        <w:spacing w:line="360" w:lineRule="auto"/>
        <w:jc w:val="both"/>
        <w:rPr>
          <w:rFonts w:ascii="Kinnari" w:eastAsia="Kinnari" w:hAnsi="Kinnari" w:cs="Kinnari"/>
          <w:color w:val="00000A"/>
          <w:sz w:val="24"/>
          <w:szCs w:val="24"/>
        </w:rPr>
      </w:pPr>
    </w:p>
    <w:p w14:paraId="063814B3" w14:textId="77777777" w:rsidR="002E2AF2" w:rsidRDefault="001217C9">
      <w:pPr>
        <w:pStyle w:val="10"/>
        <w:widowControl w:val="0"/>
        <w:spacing w:after="140" w:line="288" w:lineRule="auto"/>
        <w:rPr>
          <w:rFonts w:ascii="Calibri" w:hAnsi="Calibri" w:cs="Calibri"/>
          <w:color w:val="00000A"/>
          <w:sz w:val="24"/>
          <w:szCs w:val="24"/>
        </w:rPr>
      </w:pPr>
      <w:r>
        <w:rPr>
          <w:rFonts w:ascii="Kinnari" w:eastAsia="Kinnari" w:hAnsi="Kinnari" w:cs="Kinnari"/>
          <w:color w:val="00000A"/>
          <w:sz w:val="24"/>
          <w:szCs w:val="24"/>
        </w:rPr>
        <w:t>本文</w:t>
      </w:r>
      <w:r w:rsidR="006E2198">
        <w:rPr>
          <w:rFonts w:ascii="Kinnari" w:eastAsia="Kinnari" w:hAnsi="Kinnari" w:cs="Kinnari"/>
          <w:color w:val="00000A"/>
          <w:sz w:val="24"/>
          <w:szCs w:val="24"/>
        </w:rPr>
        <w:t>嘗試</w:t>
      </w:r>
      <w:r>
        <w:rPr>
          <w:rFonts w:ascii="Kinnari" w:eastAsia="Kinnari" w:hAnsi="Kinnari" w:cs="Kinnari"/>
          <w:color w:val="00000A"/>
          <w:sz w:val="24"/>
          <w:szCs w:val="24"/>
        </w:rPr>
        <w:t>提出一套建構保育優先順序排序系統基本的骨架，</w:t>
      </w:r>
      <w:r w:rsidR="002245AC">
        <w:rPr>
          <w:rFonts w:ascii="Kinnari" w:eastAsia="Kinnari" w:hAnsi="Kinnari" w:cs="Kinnari"/>
          <w:color w:val="00000A"/>
          <w:sz w:val="24"/>
          <w:szCs w:val="24"/>
        </w:rPr>
        <w:t>這個架構</w:t>
      </w:r>
      <w:r>
        <w:rPr>
          <w:rFonts w:ascii="Kinnari" w:eastAsia="Kinnari" w:hAnsi="Kinnari" w:cs="Kinnari"/>
          <w:color w:val="00000A"/>
          <w:sz w:val="24"/>
          <w:szCs w:val="24"/>
        </w:rPr>
        <w:t>包含三個大面相</w:t>
      </w:r>
      <w:r w:rsidR="002245AC">
        <w:rPr>
          <w:rFonts w:ascii="Kinnari" w:eastAsia="Kinnari" w:hAnsi="Kinnari" w:cs="Kinnari"/>
          <w:color w:val="00000A"/>
          <w:sz w:val="24"/>
          <w:szCs w:val="24"/>
        </w:rPr>
        <w:t>的評估工作</w:t>
      </w:r>
      <w:r>
        <w:rPr>
          <w:rFonts w:ascii="Kinnari" w:eastAsia="Kinnari" w:hAnsi="Kinnari" w:cs="Kinnari"/>
          <w:color w:val="00000A"/>
          <w:sz w:val="24"/>
          <w:szCs w:val="24"/>
        </w:rPr>
        <w:t>:物種保育價值、物種恢復潛力、保育成本，</w:t>
      </w:r>
      <w:r w:rsidR="002245AC">
        <w:rPr>
          <w:rFonts w:ascii="Kinnari" w:eastAsia="Kinnari" w:hAnsi="Kinnari" w:cs="Kinnari"/>
          <w:color w:val="00000A"/>
          <w:sz w:val="24"/>
          <w:szCs w:val="24"/>
        </w:rPr>
        <w:t>並且</w:t>
      </w:r>
      <w:r w:rsidR="002245AC">
        <w:rPr>
          <w:rFonts w:ascii="Kinnari" w:hAnsi="Kinnari" w:cs="Kinnari" w:hint="eastAsia"/>
          <w:color w:val="00000A"/>
          <w:sz w:val="24"/>
          <w:szCs w:val="24"/>
        </w:rPr>
        <w:t>建議</w:t>
      </w:r>
      <w:r>
        <w:rPr>
          <w:rFonts w:ascii="Calibri" w:eastAsia="Calibri" w:hAnsi="Calibri" w:cs="Calibri"/>
          <w:color w:val="00000A"/>
          <w:sz w:val="24"/>
          <w:szCs w:val="24"/>
        </w:rPr>
        <w:t>將這三個面向整合在一起(</w:t>
      </w:r>
      <w:r w:rsidR="002245AC">
        <w:rPr>
          <w:rFonts w:ascii="Calibri" w:eastAsia="Calibri" w:hAnsi="Calibri" w:cs="Calibri"/>
          <w:color w:val="00000A"/>
          <w:sz w:val="24"/>
          <w:szCs w:val="24"/>
        </w:rPr>
        <w:t>如</w:t>
      </w:r>
      <w:r>
        <w:rPr>
          <w:rFonts w:ascii="Calibri" w:eastAsia="Calibri" w:hAnsi="Calibri" w:cs="Calibri"/>
          <w:color w:val="00000A"/>
          <w:sz w:val="24"/>
          <w:szCs w:val="24"/>
        </w:rPr>
        <w:t>公式</w:t>
      </w:r>
      <w:r w:rsidR="002245AC">
        <w:rPr>
          <w:rFonts w:ascii="Calibri" w:hAnsi="Calibri" w:cs="Calibri" w:hint="eastAsia"/>
          <w:color w:val="00000A"/>
          <w:sz w:val="24"/>
          <w:szCs w:val="24"/>
        </w:rPr>
        <w:t>1</w:t>
      </w:r>
      <w:r>
        <w:rPr>
          <w:rFonts w:ascii="Calibri" w:eastAsia="Calibri" w:hAnsi="Calibri" w:cs="Calibri"/>
          <w:color w:val="00000A"/>
          <w:sz w:val="24"/>
          <w:szCs w:val="24"/>
        </w:rPr>
        <w:t>)</w:t>
      </w:r>
      <w:r w:rsidR="002245AC">
        <w:rPr>
          <w:rFonts w:ascii="Calibri" w:hAnsi="Calibri" w:cs="Calibri" w:hint="eastAsia"/>
          <w:color w:val="00000A"/>
          <w:sz w:val="24"/>
          <w:szCs w:val="24"/>
        </w:rPr>
        <w:t>。本文</w:t>
      </w:r>
      <w:r>
        <w:rPr>
          <w:rFonts w:ascii="Calibri" w:eastAsia="Calibri" w:hAnsi="Calibri" w:cs="Calibri"/>
          <w:color w:val="00000A"/>
          <w:sz w:val="24"/>
          <w:szCs w:val="24"/>
        </w:rPr>
        <w:t>同時針對</w:t>
      </w:r>
      <w:r w:rsidR="002245AC">
        <w:rPr>
          <w:rFonts w:ascii="Calibri" w:eastAsia="Calibri" w:hAnsi="Calibri" w:cs="Calibri"/>
          <w:color w:val="00000A"/>
          <w:sz w:val="24"/>
          <w:szCs w:val="24"/>
        </w:rPr>
        <w:t>上述</w:t>
      </w:r>
      <w:r>
        <w:rPr>
          <w:rFonts w:ascii="Calibri" w:eastAsia="Calibri" w:hAnsi="Calibri" w:cs="Calibri"/>
          <w:color w:val="00000A"/>
          <w:sz w:val="24"/>
          <w:szCs w:val="24"/>
        </w:rPr>
        <w:t>各項</w:t>
      </w:r>
      <w:r w:rsidR="002E2AF2">
        <w:rPr>
          <w:rFonts w:ascii="Calibri" w:eastAsia="Calibri" w:hAnsi="Calibri" w:cs="Calibri"/>
          <w:color w:val="00000A"/>
          <w:sz w:val="24"/>
          <w:szCs w:val="24"/>
        </w:rPr>
        <w:t>內容說明如何可以使用</w:t>
      </w:r>
      <w:r>
        <w:rPr>
          <w:rFonts w:ascii="Calibri" w:eastAsia="Calibri" w:hAnsi="Calibri" w:cs="Calibri"/>
          <w:color w:val="00000A"/>
          <w:sz w:val="24"/>
          <w:szCs w:val="24"/>
        </w:rPr>
        <w:t>定性評估加上分層篩選的</w:t>
      </w:r>
      <w:r w:rsidR="002E2AF2">
        <w:rPr>
          <w:rFonts w:ascii="Calibri" w:hAnsi="Calibri" w:cs="Calibri" w:hint="eastAsia"/>
          <w:color w:val="00000A"/>
          <w:sz w:val="24"/>
          <w:szCs w:val="24"/>
        </w:rPr>
        <w:t>方法</w:t>
      </w:r>
      <w:r>
        <w:rPr>
          <w:rFonts w:ascii="Calibri" w:eastAsia="Calibri" w:hAnsi="Calibri" w:cs="Calibri"/>
          <w:color w:val="00000A"/>
          <w:sz w:val="24"/>
          <w:szCs w:val="24"/>
        </w:rPr>
        <w:t>，即可</w:t>
      </w:r>
      <w:r w:rsidR="002E2AF2">
        <w:rPr>
          <w:rFonts w:ascii="Calibri" w:eastAsia="Calibri" w:hAnsi="Calibri" w:cs="Calibri"/>
          <w:color w:val="00000A"/>
          <w:sz w:val="24"/>
          <w:szCs w:val="24"/>
        </w:rPr>
        <w:t>在短時間內對所有目標物種</w:t>
      </w:r>
      <w:r>
        <w:rPr>
          <w:rFonts w:ascii="Calibri" w:eastAsia="Calibri" w:hAnsi="Calibri" w:cs="Calibri"/>
          <w:color w:val="00000A"/>
          <w:sz w:val="24"/>
          <w:szCs w:val="24"/>
        </w:rPr>
        <w:t>建構客觀、實用的</w:t>
      </w:r>
      <w:r w:rsidR="002E2AF2">
        <w:rPr>
          <w:rFonts w:ascii="Calibri" w:eastAsia="Calibri" w:hAnsi="Calibri" w:cs="Calibri"/>
          <w:color w:val="00000A"/>
          <w:sz w:val="24"/>
          <w:szCs w:val="24"/>
        </w:rPr>
        <w:t>篩選</w:t>
      </w:r>
      <w:r>
        <w:rPr>
          <w:rFonts w:ascii="Calibri" w:eastAsia="Calibri" w:hAnsi="Calibri" w:cs="Calibri"/>
          <w:color w:val="00000A"/>
          <w:sz w:val="24"/>
          <w:szCs w:val="24"/>
        </w:rPr>
        <w:t>系統。</w:t>
      </w:r>
    </w:p>
    <w:p w14:paraId="307ED6CB" w14:textId="77777777" w:rsidR="002A1C85" w:rsidRDefault="002E2AF2">
      <w:pPr>
        <w:pStyle w:val="10"/>
        <w:widowControl w:val="0"/>
        <w:spacing w:after="140" w:line="288" w:lineRule="auto"/>
        <w:rPr>
          <w:rFonts w:ascii="Calibri" w:eastAsia="Calibri" w:hAnsi="Calibri" w:cs="Calibri"/>
          <w:color w:val="00000A"/>
          <w:sz w:val="24"/>
          <w:szCs w:val="24"/>
        </w:rPr>
      </w:pPr>
      <w:r>
        <w:rPr>
          <w:rFonts w:ascii="Calibri" w:hAnsi="Calibri" w:cs="Calibri" w:hint="eastAsia"/>
          <w:color w:val="00000A"/>
          <w:sz w:val="24"/>
          <w:szCs w:val="24"/>
        </w:rPr>
        <w:t>但必須特別注意的是，因為各種生物類群的特性不同，</w:t>
      </w:r>
      <w:r w:rsidR="001217C9">
        <w:rPr>
          <w:rFonts w:ascii="Calibri" w:eastAsia="Calibri" w:hAnsi="Calibri" w:cs="Calibri"/>
          <w:color w:val="00000A"/>
          <w:sz w:val="24"/>
          <w:szCs w:val="24"/>
        </w:rPr>
        <w:t>實際</w:t>
      </w:r>
      <w:r>
        <w:rPr>
          <w:rFonts w:ascii="Calibri" w:eastAsia="Calibri" w:hAnsi="Calibri" w:cs="Calibri"/>
          <w:color w:val="00000A"/>
          <w:sz w:val="24"/>
          <w:szCs w:val="24"/>
        </w:rPr>
        <w:t>在</w:t>
      </w:r>
      <w:r w:rsidR="001217C9">
        <w:rPr>
          <w:rFonts w:ascii="Calibri" w:eastAsia="Calibri" w:hAnsi="Calibri" w:cs="Calibri"/>
          <w:color w:val="00000A"/>
          <w:sz w:val="24"/>
          <w:szCs w:val="24"/>
        </w:rPr>
        <w:t>使用時，</w:t>
      </w:r>
      <w:r>
        <w:rPr>
          <w:rFonts w:ascii="Calibri" w:eastAsia="Calibri" w:hAnsi="Calibri" w:cs="Calibri"/>
          <w:color w:val="00000A"/>
          <w:sz w:val="24"/>
          <w:szCs w:val="24"/>
        </w:rPr>
        <w:t>可能有不少內容或是指標</w:t>
      </w:r>
      <w:r w:rsidR="001217C9">
        <w:rPr>
          <w:rFonts w:ascii="Calibri" w:eastAsia="Calibri" w:hAnsi="Calibri" w:cs="Calibri"/>
          <w:color w:val="00000A"/>
          <w:sz w:val="24"/>
          <w:szCs w:val="24"/>
        </w:rPr>
        <w:t>需要根據</w:t>
      </w:r>
      <w:r>
        <w:rPr>
          <w:rFonts w:ascii="Calibri" w:eastAsia="Calibri" w:hAnsi="Calibri" w:cs="Calibri"/>
          <w:color w:val="00000A"/>
          <w:sz w:val="24"/>
          <w:szCs w:val="24"/>
        </w:rPr>
        <w:t>其</w:t>
      </w:r>
      <w:r w:rsidR="001217C9">
        <w:rPr>
          <w:rFonts w:ascii="Calibri" w:eastAsia="Calibri" w:hAnsi="Calibri" w:cs="Calibri"/>
          <w:color w:val="00000A"/>
          <w:sz w:val="24"/>
          <w:szCs w:val="24"/>
        </w:rPr>
        <w:t>特</w:t>
      </w:r>
      <w:r>
        <w:rPr>
          <w:rFonts w:ascii="Calibri" w:eastAsia="Calibri" w:hAnsi="Calibri" w:cs="Calibri"/>
          <w:color w:val="00000A"/>
          <w:sz w:val="24"/>
          <w:szCs w:val="24"/>
        </w:rPr>
        <w:t>性</w:t>
      </w:r>
      <w:r w:rsidR="001217C9">
        <w:rPr>
          <w:rFonts w:ascii="Calibri" w:eastAsia="Calibri" w:hAnsi="Calibri" w:cs="Calibri"/>
          <w:color w:val="00000A"/>
          <w:sz w:val="24"/>
          <w:szCs w:val="24"/>
        </w:rPr>
        <w:t>修改</w:t>
      </w:r>
      <w:r>
        <w:rPr>
          <w:rFonts w:ascii="Calibri" w:eastAsia="Calibri" w:hAnsi="Calibri" w:cs="Calibri"/>
          <w:color w:val="00000A"/>
          <w:sz w:val="24"/>
          <w:szCs w:val="24"/>
        </w:rPr>
        <w:t>或建立</w:t>
      </w:r>
      <w:r w:rsidR="001217C9">
        <w:rPr>
          <w:rFonts w:ascii="Calibri" w:eastAsia="Calibri" w:hAnsi="Calibri" w:cs="Calibri"/>
          <w:color w:val="00000A"/>
          <w:sz w:val="24"/>
          <w:szCs w:val="24"/>
        </w:rPr>
        <w:t>。例如，</w:t>
      </w:r>
      <w:commentRangeStart w:id="56"/>
      <w:r w:rsidR="001217C9">
        <w:rPr>
          <w:rFonts w:ascii="Calibri" w:eastAsia="Calibri" w:hAnsi="Calibri" w:cs="Calibri"/>
          <w:color w:val="00000A"/>
          <w:sz w:val="24"/>
          <w:szCs w:val="24"/>
        </w:rPr>
        <w:t>在淡水魚類中適合的指標，在兩棲類中不見得會適合</w:t>
      </w:r>
      <w:commentRangeEnd w:id="56"/>
      <w:r>
        <w:rPr>
          <w:rStyle w:val="ad"/>
        </w:rPr>
        <w:commentReference w:id="56"/>
      </w:r>
      <w:r w:rsidR="001217C9">
        <w:rPr>
          <w:rFonts w:ascii="Calibri" w:eastAsia="Calibri" w:hAnsi="Calibri" w:cs="Calibri"/>
          <w:color w:val="00000A"/>
          <w:sz w:val="24"/>
          <w:szCs w:val="24"/>
        </w:rPr>
        <w:t>。因此</w:t>
      </w:r>
      <w:r>
        <w:rPr>
          <w:rFonts w:ascii="Calibri" w:eastAsia="Calibri" w:hAnsi="Calibri" w:cs="Calibri"/>
          <w:color w:val="00000A"/>
          <w:sz w:val="24"/>
          <w:szCs w:val="24"/>
        </w:rPr>
        <w:t>即使要套用本文所建議的</w:t>
      </w:r>
      <w:r w:rsidR="001217C9">
        <w:rPr>
          <w:rFonts w:ascii="Calibri" w:eastAsia="Calibri" w:hAnsi="Calibri" w:cs="Calibri"/>
          <w:color w:val="00000A"/>
          <w:sz w:val="24"/>
          <w:szCs w:val="24"/>
        </w:rPr>
        <w:t>排序系統</w:t>
      </w:r>
      <w:r>
        <w:rPr>
          <w:rFonts w:ascii="Calibri" w:eastAsia="Calibri" w:hAnsi="Calibri" w:cs="Calibri"/>
          <w:color w:val="00000A"/>
          <w:sz w:val="24"/>
          <w:szCs w:val="24"/>
        </w:rPr>
        <w:t>架構</w:t>
      </w:r>
      <w:r w:rsidR="001217C9">
        <w:rPr>
          <w:rFonts w:ascii="Calibri" w:eastAsia="Calibri" w:hAnsi="Calibri" w:cs="Calibri"/>
          <w:color w:val="00000A"/>
          <w:sz w:val="24"/>
          <w:szCs w:val="24"/>
        </w:rPr>
        <w:t>，</w:t>
      </w:r>
      <w:r>
        <w:rPr>
          <w:rFonts w:ascii="Calibri" w:eastAsia="Calibri" w:hAnsi="Calibri" w:cs="Calibri"/>
          <w:color w:val="00000A"/>
          <w:sz w:val="24"/>
          <w:szCs w:val="24"/>
        </w:rPr>
        <w:t>各類群仍應該</w:t>
      </w:r>
      <w:r w:rsidR="001217C9">
        <w:rPr>
          <w:rFonts w:ascii="Calibri" w:eastAsia="Calibri" w:hAnsi="Calibri" w:cs="Calibri"/>
          <w:color w:val="00000A"/>
          <w:sz w:val="24"/>
          <w:szCs w:val="24"/>
        </w:rPr>
        <w:t>根據</w:t>
      </w:r>
      <w:r>
        <w:rPr>
          <w:rFonts w:ascii="Calibri" w:eastAsia="Calibri" w:hAnsi="Calibri" w:cs="Calibri"/>
          <w:color w:val="00000A"/>
          <w:sz w:val="24"/>
          <w:szCs w:val="24"/>
        </w:rPr>
        <w:t>類群特性或</w:t>
      </w:r>
      <w:r w:rsidR="001217C9">
        <w:rPr>
          <w:rFonts w:ascii="Calibri" w:eastAsia="Calibri" w:hAnsi="Calibri" w:cs="Calibri"/>
          <w:color w:val="00000A"/>
          <w:sz w:val="24"/>
          <w:szCs w:val="24"/>
        </w:rPr>
        <w:t>各自需求</w:t>
      </w:r>
      <w:r>
        <w:rPr>
          <w:rFonts w:ascii="Calibri" w:hAnsi="Calibri" w:cs="Calibri" w:hint="eastAsia"/>
          <w:color w:val="00000A"/>
          <w:sz w:val="24"/>
          <w:szCs w:val="24"/>
        </w:rPr>
        <w:t>建立</w:t>
      </w:r>
      <w:r w:rsidR="001217C9">
        <w:rPr>
          <w:rFonts w:ascii="Calibri" w:eastAsia="Calibri" w:hAnsi="Calibri" w:cs="Calibri"/>
          <w:color w:val="00000A"/>
          <w:sz w:val="24"/>
          <w:szCs w:val="24"/>
        </w:rPr>
        <w:t>所需要的參數類別、加權、篩選基準，如此才有辦法建立出適合該類群使用的保育優先順序排序系統。</w:t>
      </w:r>
    </w:p>
    <w:p w14:paraId="0D02F354" w14:textId="77777777" w:rsidR="002A1C85" w:rsidRDefault="002A1C85">
      <w:pPr>
        <w:pStyle w:val="10"/>
        <w:widowControl w:val="0"/>
        <w:spacing w:after="140" w:line="288" w:lineRule="auto"/>
        <w:rPr>
          <w:rFonts w:ascii="Calibri" w:eastAsia="Calibri" w:hAnsi="Calibri" w:cs="Calibri"/>
          <w:color w:val="00000A"/>
          <w:sz w:val="24"/>
          <w:szCs w:val="24"/>
        </w:rPr>
      </w:pPr>
    </w:p>
    <w:p w14:paraId="453D9F3A" w14:textId="77777777" w:rsidR="002A1C85" w:rsidRDefault="002E2AF2">
      <w:pPr>
        <w:pStyle w:val="10"/>
        <w:widowControl w:val="0"/>
        <w:spacing w:after="140" w:line="288" w:lineRule="auto"/>
        <w:rPr>
          <w:rFonts w:ascii="Calibri" w:eastAsia="Calibri" w:hAnsi="Calibri" w:cs="Calibri"/>
          <w:color w:val="00000A"/>
          <w:sz w:val="24"/>
          <w:szCs w:val="24"/>
        </w:rPr>
      </w:pPr>
      <w:r>
        <w:rPr>
          <w:rFonts w:ascii="Calibri" w:hAnsi="Calibri" w:cs="Calibri" w:hint="eastAsia"/>
          <w:color w:val="00000A"/>
          <w:sz w:val="24"/>
          <w:szCs w:val="24"/>
        </w:rPr>
        <w:t>截至</w:t>
      </w:r>
      <w:r w:rsidR="001217C9">
        <w:rPr>
          <w:rFonts w:ascii="Calibri" w:eastAsia="Calibri" w:hAnsi="Calibri" w:cs="Calibri"/>
          <w:color w:val="00000A"/>
          <w:sz w:val="24"/>
          <w:szCs w:val="24"/>
        </w:rPr>
        <w:t>目前的</w:t>
      </w:r>
      <w:r>
        <w:rPr>
          <w:rFonts w:ascii="Calibri" w:eastAsia="Calibri" w:hAnsi="Calibri" w:cs="Calibri"/>
          <w:color w:val="00000A"/>
          <w:sz w:val="24"/>
          <w:szCs w:val="24"/>
        </w:rPr>
        <w:t>所有</w:t>
      </w:r>
      <w:r w:rsidR="001217C9">
        <w:rPr>
          <w:rFonts w:ascii="Calibri" w:eastAsia="Calibri" w:hAnsi="Calibri" w:cs="Calibri"/>
          <w:color w:val="00000A"/>
          <w:sz w:val="24"/>
          <w:szCs w:val="24"/>
        </w:rPr>
        <w:t>論述</w:t>
      </w:r>
      <w:r>
        <w:rPr>
          <w:rFonts w:ascii="Calibri" w:eastAsia="Calibri" w:hAnsi="Calibri" w:cs="Calibri"/>
          <w:color w:val="00000A"/>
          <w:sz w:val="24"/>
          <w:szCs w:val="24"/>
        </w:rPr>
        <w:t>都屬於</w:t>
      </w:r>
      <w:r w:rsidR="001217C9">
        <w:rPr>
          <w:rFonts w:ascii="Calibri" w:eastAsia="Calibri" w:hAnsi="Calibri" w:cs="Calibri"/>
          <w:color w:val="00000A"/>
          <w:sz w:val="24"/>
          <w:szCs w:val="24"/>
        </w:rPr>
        <w:t>紙上</w:t>
      </w:r>
      <w:r>
        <w:rPr>
          <w:rFonts w:ascii="Calibri" w:eastAsia="Calibri" w:hAnsi="Calibri" w:cs="Calibri"/>
          <w:color w:val="00000A"/>
          <w:sz w:val="24"/>
          <w:szCs w:val="24"/>
        </w:rPr>
        <w:t>作業階段</w:t>
      </w:r>
      <w:r w:rsidR="001217C9">
        <w:rPr>
          <w:rFonts w:ascii="Calibri" w:eastAsia="Calibri" w:hAnsi="Calibri" w:cs="Calibri"/>
          <w:color w:val="00000A"/>
          <w:sz w:val="24"/>
          <w:szCs w:val="24"/>
        </w:rPr>
        <w:t>，當真的要試圖去建</w:t>
      </w:r>
      <w:r w:rsidR="00F10399">
        <w:rPr>
          <w:rFonts w:ascii="Calibri" w:hAnsi="Calibri" w:cs="Calibri" w:hint="eastAsia"/>
          <w:color w:val="00000A"/>
          <w:sz w:val="24"/>
          <w:szCs w:val="24"/>
        </w:rPr>
        <w:t>立評價基準與系統</w:t>
      </w:r>
      <w:r w:rsidR="001217C9">
        <w:rPr>
          <w:rFonts w:ascii="Calibri" w:eastAsia="Calibri" w:hAnsi="Calibri" w:cs="Calibri"/>
          <w:color w:val="00000A"/>
          <w:sz w:val="24"/>
          <w:szCs w:val="24"/>
        </w:rPr>
        <w:t>時，</w:t>
      </w:r>
      <w:r w:rsidR="00F10399">
        <w:rPr>
          <w:rFonts w:ascii="Calibri" w:eastAsia="Calibri" w:hAnsi="Calibri" w:cs="Calibri"/>
          <w:color w:val="00000A"/>
          <w:sz w:val="24"/>
          <w:szCs w:val="24"/>
        </w:rPr>
        <w:t>一定</w:t>
      </w:r>
      <w:r w:rsidR="001217C9">
        <w:rPr>
          <w:rFonts w:ascii="Calibri" w:eastAsia="Calibri" w:hAnsi="Calibri" w:cs="Calibri"/>
          <w:color w:val="00000A"/>
          <w:sz w:val="24"/>
          <w:szCs w:val="24"/>
        </w:rPr>
        <w:t>會遇到許多的</w:t>
      </w:r>
      <w:r w:rsidR="00F10399">
        <w:rPr>
          <w:rFonts w:ascii="Calibri" w:eastAsia="Calibri" w:hAnsi="Calibri" w:cs="Calibri"/>
          <w:color w:val="00000A"/>
          <w:sz w:val="24"/>
          <w:szCs w:val="24"/>
        </w:rPr>
        <w:t>問題與</w:t>
      </w:r>
      <w:r w:rsidR="001217C9">
        <w:rPr>
          <w:rFonts w:ascii="Calibri" w:eastAsia="Calibri" w:hAnsi="Calibri" w:cs="Calibri"/>
          <w:color w:val="00000A"/>
          <w:sz w:val="24"/>
          <w:szCs w:val="24"/>
        </w:rPr>
        <w:t>癥結，</w:t>
      </w:r>
      <w:r w:rsidR="00F10399">
        <w:rPr>
          <w:rFonts w:ascii="Calibri" w:eastAsia="Calibri" w:hAnsi="Calibri" w:cs="Calibri"/>
          <w:color w:val="00000A"/>
          <w:sz w:val="24"/>
          <w:szCs w:val="24"/>
        </w:rPr>
        <w:t>最容易遇到的問題恐怕在於</w:t>
      </w:r>
      <w:r w:rsidR="00F10399">
        <w:rPr>
          <w:rFonts w:ascii="Calibri" w:hAnsi="Calibri" w:cs="Calibri" w:hint="eastAsia"/>
          <w:color w:val="00000A"/>
          <w:sz w:val="24"/>
          <w:szCs w:val="24"/>
        </w:rPr>
        <w:t>是否</w:t>
      </w:r>
      <w:r w:rsidR="00F10399">
        <w:rPr>
          <w:rFonts w:ascii="Calibri" w:eastAsia="Calibri" w:hAnsi="Calibri" w:cs="Calibri"/>
          <w:color w:val="00000A"/>
          <w:sz w:val="24"/>
          <w:szCs w:val="24"/>
        </w:rPr>
        <w:t>有</w:t>
      </w:r>
      <w:commentRangeStart w:id="57"/>
      <w:r w:rsidR="001217C9">
        <w:rPr>
          <w:rFonts w:ascii="Calibri" w:eastAsia="Calibri" w:hAnsi="Calibri" w:cs="Calibri"/>
          <w:color w:val="00000A"/>
          <w:sz w:val="24"/>
          <w:szCs w:val="24"/>
        </w:rPr>
        <w:t>足夠的資料</w:t>
      </w:r>
      <w:r w:rsidR="00F10399">
        <w:rPr>
          <w:rFonts w:ascii="Calibri" w:eastAsia="Calibri" w:hAnsi="Calibri" w:cs="Calibri"/>
          <w:color w:val="00000A"/>
          <w:sz w:val="24"/>
          <w:szCs w:val="24"/>
        </w:rPr>
        <w:t>可以</w:t>
      </w:r>
      <w:r w:rsidR="001217C9">
        <w:rPr>
          <w:rFonts w:ascii="Calibri" w:eastAsia="Calibri" w:hAnsi="Calibri" w:cs="Calibri"/>
          <w:color w:val="00000A"/>
          <w:sz w:val="24"/>
          <w:szCs w:val="24"/>
        </w:rPr>
        <w:t>進行評估</w:t>
      </w:r>
      <w:commentRangeEnd w:id="57"/>
      <w:r w:rsidR="00F10399">
        <w:rPr>
          <w:rStyle w:val="ad"/>
        </w:rPr>
        <w:commentReference w:id="57"/>
      </w:r>
      <w:r w:rsidR="001217C9">
        <w:rPr>
          <w:rFonts w:ascii="Calibri" w:eastAsia="Calibri" w:hAnsi="Calibri" w:cs="Calibri"/>
          <w:color w:val="00000A"/>
          <w:sz w:val="24"/>
          <w:szCs w:val="24"/>
        </w:rPr>
        <w:t>，以及如何做出讓人信服的主觀推斷，以下就這兩個問題分別討論。</w:t>
      </w:r>
    </w:p>
    <w:p w14:paraId="6812595F" w14:textId="77777777" w:rsidR="002A1C85" w:rsidRDefault="002A1C85">
      <w:pPr>
        <w:pStyle w:val="10"/>
        <w:widowControl w:val="0"/>
        <w:spacing w:line="360" w:lineRule="auto"/>
        <w:jc w:val="both"/>
        <w:rPr>
          <w:rFonts w:ascii="Kinnari" w:eastAsia="Kinnari" w:hAnsi="Kinnari" w:cs="Kinnari"/>
          <w:color w:val="00000A"/>
          <w:sz w:val="24"/>
          <w:szCs w:val="24"/>
        </w:rPr>
      </w:pPr>
    </w:p>
    <w:p w14:paraId="22FB8188"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[一、資料的缺乏與不確定]</w:t>
      </w:r>
    </w:p>
    <w:p w14:paraId="25A50717"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資料</w:t>
      </w:r>
      <w:r w:rsidR="002641F1">
        <w:rPr>
          <w:rFonts w:ascii="Kinnari" w:eastAsia="Kinnari" w:hAnsi="Kinnari" w:cs="Kinnari"/>
          <w:color w:val="00000A"/>
          <w:sz w:val="24"/>
          <w:szCs w:val="24"/>
        </w:rPr>
        <w:t>總是</w:t>
      </w:r>
      <w:r>
        <w:rPr>
          <w:rFonts w:ascii="Kinnari" w:eastAsia="Kinnari" w:hAnsi="Kinnari" w:cs="Kinnari"/>
          <w:color w:val="00000A"/>
          <w:sz w:val="24"/>
          <w:szCs w:val="24"/>
        </w:rPr>
        <w:t>缺乏，</w:t>
      </w:r>
      <w:r w:rsidR="002641F1">
        <w:rPr>
          <w:rFonts w:ascii="Kinnari" w:hAnsi="Kinnari" w:cs="Kinnari" w:hint="eastAsia"/>
          <w:color w:val="00000A"/>
          <w:sz w:val="24"/>
          <w:szCs w:val="24"/>
        </w:rPr>
        <w:t>但</w:t>
      </w:r>
      <w:r>
        <w:rPr>
          <w:rFonts w:ascii="Kinnari" w:eastAsia="Kinnari" w:hAnsi="Kinnari" w:cs="Kinnari"/>
          <w:color w:val="00000A"/>
          <w:sz w:val="24"/>
          <w:szCs w:val="24"/>
        </w:rPr>
        <w:t>保育學</w:t>
      </w:r>
      <w:r w:rsidR="002641F1">
        <w:rPr>
          <w:rFonts w:ascii="Kinnari" w:hAnsi="Kinnari" w:cs="Kinnari" w:hint="eastAsia"/>
          <w:color w:val="00000A"/>
          <w:sz w:val="24"/>
          <w:szCs w:val="24"/>
        </w:rPr>
        <w:t>者或主管單位</w:t>
      </w:r>
      <w:r>
        <w:rPr>
          <w:rFonts w:ascii="Kinnari" w:eastAsia="Kinnari" w:hAnsi="Kinnari" w:cs="Kinnari"/>
          <w:color w:val="00000A"/>
          <w:sz w:val="24"/>
          <w:szCs w:val="24"/>
        </w:rPr>
        <w:t>依然</w:t>
      </w:r>
      <w:r w:rsidR="002641F1">
        <w:rPr>
          <w:rFonts w:ascii="Kinnari" w:eastAsia="Kinnari" w:hAnsi="Kinnari" w:cs="Kinnari"/>
          <w:color w:val="00000A"/>
          <w:sz w:val="24"/>
          <w:szCs w:val="24"/>
        </w:rPr>
        <w:t>要在有限資料的情況下</w:t>
      </w:r>
      <w:r>
        <w:rPr>
          <w:rFonts w:ascii="Kinnari" w:eastAsia="Kinnari" w:hAnsi="Kinnari" w:cs="Kinnari"/>
          <w:color w:val="00000A"/>
          <w:sz w:val="24"/>
          <w:szCs w:val="24"/>
        </w:rPr>
        <w:t>做出</w:t>
      </w:r>
      <w:r w:rsidR="002641F1">
        <w:rPr>
          <w:rFonts w:ascii="Kinnari" w:eastAsia="Kinnari" w:hAnsi="Kinnari" w:cs="Kinnari"/>
          <w:color w:val="00000A"/>
          <w:sz w:val="24"/>
          <w:szCs w:val="24"/>
        </w:rPr>
        <w:t>建議，或是進行政策</w:t>
      </w:r>
      <w:r>
        <w:rPr>
          <w:rFonts w:ascii="Kinnari" w:eastAsia="Kinnari" w:hAnsi="Kinnari" w:cs="Kinnari"/>
          <w:color w:val="00000A"/>
          <w:sz w:val="24"/>
          <w:szCs w:val="24"/>
        </w:rPr>
        <w:t>判斷</w:t>
      </w:r>
      <w:r w:rsidR="002641F1">
        <w:rPr>
          <w:rFonts w:ascii="Kinnari" w:hAnsi="Kinnari" w:cs="Kinnari" w:hint="eastAsia"/>
          <w:color w:val="00000A"/>
          <w:sz w:val="24"/>
          <w:szCs w:val="24"/>
        </w:rPr>
        <w:t>與</w:t>
      </w:r>
      <w:r>
        <w:rPr>
          <w:rFonts w:ascii="Kinnari" w:eastAsia="Kinnari" w:hAnsi="Kinnari" w:cs="Kinnari"/>
          <w:color w:val="00000A"/>
          <w:sz w:val="24"/>
          <w:szCs w:val="24"/>
        </w:rPr>
        <w:t>進行保育規劃。</w:t>
      </w:r>
      <w:r w:rsidR="002641F1">
        <w:rPr>
          <w:rFonts w:ascii="Kinnari" w:hAnsi="Kinnari" w:cs="Kinnari" w:hint="eastAsia"/>
          <w:color w:val="00000A"/>
          <w:sz w:val="24"/>
          <w:szCs w:val="24"/>
        </w:rPr>
        <w:t>彙整</w:t>
      </w:r>
      <w:r>
        <w:rPr>
          <w:rFonts w:ascii="Kinnari" w:eastAsia="Kinnari" w:hAnsi="Kinnari" w:cs="Kinnari"/>
          <w:color w:val="00000A"/>
          <w:sz w:val="24"/>
          <w:szCs w:val="24"/>
        </w:rPr>
        <w:t>相關文獻，</w:t>
      </w:r>
      <w:r>
        <w:rPr>
          <w:rFonts w:ascii="新細明體" w:eastAsia="新細明體" w:hAnsi="新細明體" w:cs="新細明體"/>
          <w:color w:val="00000A"/>
          <w:sz w:val="24"/>
          <w:szCs w:val="24"/>
        </w:rPr>
        <w:t>歸納</w:t>
      </w:r>
      <w:r w:rsidR="002641F1">
        <w:rPr>
          <w:rFonts w:ascii="新細明體" w:eastAsia="新細明體" w:hAnsi="新細明體" w:cs="新細明體" w:hint="eastAsia"/>
          <w:color w:val="00000A"/>
          <w:sz w:val="24"/>
          <w:szCs w:val="24"/>
        </w:rPr>
        <w:t>出</w:t>
      </w:r>
      <w:r>
        <w:rPr>
          <w:rFonts w:ascii="新細明體" w:eastAsia="新細明體" w:hAnsi="新細明體" w:cs="新細明體"/>
          <w:color w:val="00000A"/>
          <w:sz w:val="24"/>
          <w:szCs w:val="24"/>
        </w:rPr>
        <w:t>以</w:t>
      </w:r>
      <w:r>
        <w:rPr>
          <w:rFonts w:ascii="Kinnari" w:eastAsia="Kinnari" w:hAnsi="Kinnari" w:cs="Kinnari"/>
          <w:color w:val="00000A"/>
          <w:sz w:val="24"/>
          <w:szCs w:val="24"/>
        </w:rPr>
        <w:t>下幾</w:t>
      </w:r>
      <w:r w:rsidR="002641F1">
        <w:rPr>
          <w:rFonts w:ascii="Kinnari" w:hAnsi="Kinnari" w:cs="Kinnari" w:hint="eastAsia"/>
          <w:color w:val="00000A"/>
          <w:sz w:val="24"/>
          <w:szCs w:val="24"/>
        </w:rPr>
        <w:t>個</w:t>
      </w:r>
      <w:r w:rsidR="002641F1">
        <w:rPr>
          <w:rFonts w:ascii="Kinnari" w:eastAsia="Kinnari" w:hAnsi="Kinnari" w:cs="Kinnari"/>
          <w:color w:val="00000A"/>
          <w:sz w:val="24"/>
          <w:szCs w:val="24"/>
        </w:rPr>
        <w:t>建議方法</w:t>
      </w:r>
      <w:r>
        <w:rPr>
          <w:rFonts w:ascii="Kinnari" w:eastAsia="Kinnari" w:hAnsi="Kinnari" w:cs="Kinnari"/>
          <w:color w:val="00000A"/>
          <w:sz w:val="24"/>
          <w:szCs w:val="24"/>
        </w:rPr>
        <w:t>: (一)在</w:t>
      </w:r>
      <w:r w:rsidR="002641F1">
        <w:rPr>
          <w:rFonts w:ascii="Kinnari" w:hAnsi="Kinnari" w:cs="Kinnari" w:hint="eastAsia"/>
          <w:color w:val="00000A"/>
          <w:sz w:val="24"/>
          <w:szCs w:val="24"/>
        </w:rPr>
        <w:t>考慮</w:t>
      </w:r>
      <w:r>
        <w:rPr>
          <w:rFonts w:ascii="Kinnari" w:eastAsia="Kinnari" w:hAnsi="Kinnari" w:cs="Kinnari"/>
          <w:color w:val="00000A"/>
          <w:sz w:val="24"/>
          <w:szCs w:val="24"/>
        </w:rPr>
        <w:t>使用</w:t>
      </w:r>
      <w:r>
        <w:rPr>
          <w:rFonts w:ascii="新細明體" w:eastAsia="新細明體" w:hAnsi="新細明體" w:cs="新細明體"/>
          <w:color w:val="00000A"/>
          <w:sz w:val="24"/>
          <w:szCs w:val="24"/>
        </w:rPr>
        <w:t>哪</w:t>
      </w:r>
      <w:r>
        <w:rPr>
          <w:rFonts w:ascii="Kinnari" w:eastAsia="Kinnari" w:hAnsi="Kinnari" w:cs="Kinnari"/>
          <w:color w:val="00000A"/>
          <w:sz w:val="24"/>
          <w:szCs w:val="24"/>
        </w:rPr>
        <w:t>些指標時，選</w:t>
      </w:r>
      <w:r w:rsidR="002641F1">
        <w:rPr>
          <w:rFonts w:ascii="Kinnari" w:eastAsia="Kinnari" w:hAnsi="Kinnari" w:cs="Kinnari"/>
          <w:color w:val="00000A"/>
          <w:sz w:val="24"/>
          <w:szCs w:val="24"/>
        </w:rPr>
        <w:t>用具有</w:t>
      </w:r>
      <w:r>
        <w:rPr>
          <w:rFonts w:ascii="Kinnari" w:eastAsia="Kinnari" w:hAnsi="Kinnari" w:cs="Kinnari"/>
          <w:color w:val="00000A"/>
          <w:sz w:val="24"/>
          <w:szCs w:val="24"/>
        </w:rPr>
        <w:t>客觀資料的指標。(二)</w:t>
      </w:r>
      <w:r w:rsidR="002641F1">
        <w:rPr>
          <w:rFonts w:ascii="Kinnari" w:hAnsi="Kinnari" w:cs="Kinnari" w:hint="eastAsia"/>
          <w:color w:val="00000A"/>
          <w:sz w:val="24"/>
          <w:szCs w:val="24"/>
        </w:rPr>
        <w:t>謹慎地利</w:t>
      </w:r>
      <w:r>
        <w:rPr>
          <w:rFonts w:ascii="Kinnari" w:eastAsia="Kinnari" w:hAnsi="Kinnari" w:cs="Kinnari"/>
          <w:color w:val="00000A"/>
          <w:sz w:val="24"/>
          <w:szCs w:val="24"/>
        </w:rPr>
        <w:t>用替代物種(surrogate species)的</w:t>
      </w:r>
      <w:r w:rsidR="002641F1">
        <w:rPr>
          <w:rFonts w:ascii="Kinnari" w:eastAsia="Kinnari" w:hAnsi="Kinnari" w:cs="Kinnari"/>
          <w:color w:val="00000A"/>
          <w:sz w:val="24"/>
          <w:szCs w:val="24"/>
        </w:rPr>
        <w:t>形式取得可能有用的</w:t>
      </w:r>
      <w:r>
        <w:rPr>
          <w:rFonts w:ascii="Kinnari" w:eastAsia="Kinnari" w:hAnsi="Kinnari" w:cs="Kinnari"/>
          <w:color w:val="00000A"/>
          <w:sz w:val="24"/>
          <w:szCs w:val="24"/>
        </w:rPr>
        <w:t>資料，例如:當缺乏某一物種的環境需求資料時，</w:t>
      </w:r>
      <w:r w:rsidR="002641F1">
        <w:rPr>
          <w:rFonts w:ascii="Kinnari" w:hAnsi="Kinnari" w:cs="Kinnari" w:hint="eastAsia"/>
          <w:color w:val="00000A"/>
          <w:sz w:val="24"/>
          <w:szCs w:val="24"/>
        </w:rPr>
        <w:t>在情況允許下，</w:t>
      </w:r>
      <w:r>
        <w:rPr>
          <w:rFonts w:ascii="Kinnari" w:eastAsia="Kinnari" w:hAnsi="Kinnari" w:cs="Kinnari"/>
          <w:color w:val="00000A"/>
          <w:sz w:val="24"/>
          <w:szCs w:val="24"/>
        </w:rPr>
        <w:t>可以使用與其生活在相同棲地環境的</w:t>
      </w:r>
      <w:r w:rsidR="002641F1">
        <w:rPr>
          <w:rFonts w:ascii="Kinnari" w:eastAsia="Kinnari" w:hAnsi="Kinnari" w:cs="Kinnari"/>
          <w:color w:val="00000A"/>
          <w:sz w:val="24"/>
          <w:szCs w:val="24"/>
        </w:rPr>
        <w:t>其他</w:t>
      </w:r>
      <w:r>
        <w:rPr>
          <w:rFonts w:ascii="Kinnari" w:eastAsia="Kinnari" w:hAnsi="Kinnari" w:cs="Kinnari"/>
          <w:color w:val="00000A"/>
          <w:sz w:val="24"/>
          <w:szCs w:val="24"/>
        </w:rPr>
        <w:t>指標物種(indicator species)的資料暫時使用(Rodrigues 2007, Wiens 2008)。(三)</w:t>
      </w:r>
      <w:r w:rsidR="002641F1">
        <w:rPr>
          <w:rFonts w:ascii="Kinnari" w:eastAsia="Kinnari" w:hAnsi="Kinnari" w:cs="Kinnari"/>
          <w:color w:val="00000A"/>
          <w:sz w:val="24"/>
          <w:szCs w:val="24"/>
        </w:rPr>
        <w:t>引用非正</w:t>
      </w:r>
      <w:r w:rsidR="002641F1">
        <w:rPr>
          <w:rFonts w:ascii="Kinnari" w:eastAsia="Kinnari" w:hAnsi="Kinnari" w:cs="Kinnari"/>
          <w:color w:val="00000A"/>
          <w:sz w:val="24"/>
          <w:szCs w:val="24"/>
        </w:rPr>
        <w:lastRenderedPageBreak/>
        <w:t>式文獻作為資料來源</w:t>
      </w:r>
      <w:r>
        <w:rPr>
          <w:rFonts w:ascii="Kinnari" w:eastAsia="Kinnari" w:hAnsi="Kinnari" w:cs="Kinnari"/>
          <w:color w:val="00000A"/>
          <w:sz w:val="24"/>
          <w:szCs w:val="24"/>
        </w:rPr>
        <w:t>，如使用灰色文件(gray-literatu</w:t>
      </w:r>
      <w:r w:rsidR="00BC2432" w:rsidRPr="00BC2432">
        <w:rPr>
          <w:rFonts w:ascii="Kinnari" w:eastAsia="Kinnari" w:hAnsi="Kinnari" w:cs="Kinnari" w:hint="eastAsia"/>
          <w:color w:val="00000A"/>
          <w:sz w:val="24"/>
          <w:szCs w:val="24"/>
        </w:rPr>
        <w:t>re</w:t>
      </w:r>
      <w:r w:rsidR="002641F1">
        <w:rPr>
          <w:rFonts w:ascii="Kinnari" w:hAnsi="Kinnari" w:cs="Kinnari" w:hint="eastAsia"/>
          <w:color w:val="00000A"/>
          <w:sz w:val="24"/>
          <w:szCs w:val="24"/>
        </w:rPr>
        <w:t>，</w:t>
      </w:r>
      <w:r w:rsidR="002641F1">
        <w:rPr>
          <w:rFonts w:ascii="Kinnari" w:eastAsia="Kinnari" w:hAnsi="Kinnari" w:cs="Kinnari"/>
          <w:color w:val="00000A"/>
          <w:sz w:val="24"/>
          <w:szCs w:val="24"/>
        </w:rPr>
        <w:t>通常指</w:t>
      </w:r>
      <w:r>
        <w:rPr>
          <w:rFonts w:ascii="Kinnari" w:eastAsia="Kinnari" w:hAnsi="Kinnari" w:cs="Kinnari"/>
          <w:color w:val="00000A"/>
          <w:sz w:val="24"/>
          <w:szCs w:val="24"/>
        </w:rPr>
        <w:t>無正式公開發表，深藏於政府部門、NGO、學術機構、私人公司的</w:t>
      </w:r>
      <w:r w:rsidR="002641F1">
        <w:rPr>
          <w:rFonts w:ascii="Kinnari" w:eastAsia="Kinnari" w:hAnsi="Kinnari" w:cs="Kinnari"/>
          <w:color w:val="00000A"/>
          <w:sz w:val="24"/>
          <w:szCs w:val="24"/>
        </w:rPr>
        <w:t>報告或是</w:t>
      </w:r>
      <w:r>
        <w:rPr>
          <w:rFonts w:ascii="Kinnari" w:eastAsia="Kinnari" w:hAnsi="Kinnari" w:cs="Kinnari"/>
          <w:color w:val="00000A"/>
          <w:sz w:val="24"/>
          <w:szCs w:val="24"/>
        </w:rPr>
        <w:t>內部文獻)、專家意見等(如Wallace 2011部分採用此類型的資料，進行全球海龜保育優先順序評估)。(四)放寬</w:t>
      </w:r>
      <w:r w:rsidR="002641F1">
        <w:rPr>
          <w:rFonts w:ascii="Kinnari" w:eastAsia="Kinnari" w:hAnsi="Kinnari" w:cs="Kinnari"/>
          <w:color w:val="00000A"/>
          <w:sz w:val="24"/>
          <w:szCs w:val="24"/>
        </w:rPr>
        <w:t>評估所需</w:t>
      </w:r>
      <w:r>
        <w:rPr>
          <w:rFonts w:ascii="Kinnari" w:eastAsia="Kinnari" w:hAnsi="Kinnari" w:cs="Kinnari"/>
          <w:color w:val="00000A"/>
          <w:sz w:val="24"/>
          <w:szCs w:val="24"/>
        </w:rPr>
        <w:t>資料來源的精確度</w:t>
      </w:r>
      <w:r>
        <w:rPr>
          <w:rFonts w:ascii="新細明體" w:eastAsia="新細明體" w:hAnsi="新細明體" w:cs="新細明體"/>
          <w:color w:val="00000A"/>
          <w:sz w:val="24"/>
          <w:szCs w:val="24"/>
        </w:rPr>
        <w:t>，接受不確定性</w:t>
      </w:r>
      <w:r>
        <w:rPr>
          <w:rFonts w:ascii="Kinnari" w:eastAsia="Kinnari" w:hAnsi="Kinnari" w:cs="Kinnari"/>
          <w:color w:val="00000A"/>
          <w:sz w:val="24"/>
          <w:szCs w:val="24"/>
        </w:rPr>
        <w:t>，如使用類別型資料(如:生殖頻度設為低或高，而非每年</w:t>
      </w:r>
      <w:r>
        <w:rPr>
          <w:rFonts w:ascii="新細明體" w:eastAsia="新細明體" w:hAnsi="新細明體" w:cs="新細明體"/>
          <w:color w:val="00000A"/>
          <w:sz w:val="24"/>
          <w:szCs w:val="24"/>
        </w:rPr>
        <w:t>頻度</w:t>
      </w:r>
      <w:r>
        <w:rPr>
          <w:rFonts w:ascii="Kinnari" w:eastAsia="Kinnari" w:hAnsi="Kinnari" w:cs="Kinnari"/>
          <w:color w:val="00000A"/>
          <w:sz w:val="24"/>
          <w:szCs w:val="24"/>
        </w:rPr>
        <w:t>)、採用</w:t>
      </w:r>
      <w:r w:rsidR="002641F1">
        <w:rPr>
          <w:rFonts w:ascii="Kinnari" w:eastAsia="Kinnari" w:hAnsi="Kinnari" w:cs="Kinnari"/>
          <w:color w:val="00000A"/>
          <w:sz w:val="24"/>
          <w:szCs w:val="24"/>
        </w:rPr>
        <w:t>區間資料</w:t>
      </w:r>
      <w:r w:rsidR="002641F1">
        <w:rPr>
          <w:rFonts w:ascii="Kinnari" w:hAnsi="Kinnari" w:cs="Kinnari" w:hint="eastAsia"/>
          <w:color w:val="00000A"/>
          <w:sz w:val="24"/>
          <w:szCs w:val="24"/>
        </w:rPr>
        <w:t>(</w:t>
      </w:r>
      <w:r>
        <w:rPr>
          <w:rFonts w:ascii="Kinnari" w:eastAsia="Kinnari" w:hAnsi="Kinnari" w:cs="Kinnari"/>
          <w:color w:val="00000A"/>
          <w:sz w:val="24"/>
          <w:szCs w:val="24"/>
        </w:rPr>
        <w:t>interval data</w:t>
      </w:r>
      <w:r w:rsidR="002641F1">
        <w:rPr>
          <w:rFonts w:ascii="Kinnari" w:hAnsi="Kinnari" w:cs="Kinnari" w:hint="eastAsia"/>
          <w:color w:val="00000A"/>
          <w:sz w:val="24"/>
          <w:szCs w:val="24"/>
        </w:rPr>
        <w:t>)</w:t>
      </w:r>
      <w:r>
        <w:rPr>
          <w:rFonts w:ascii="Kinnari" w:eastAsia="Kinnari" w:hAnsi="Kinnari" w:cs="Kinnari"/>
          <w:color w:val="00000A"/>
          <w:sz w:val="24"/>
          <w:szCs w:val="24"/>
        </w:rPr>
        <w:t>(如生殖頻度:每年1~3次)、</w:t>
      </w:r>
      <w:r w:rsidR="002641F1">
        <w:rPr>
          <w:rFonts w:ascii="Kinnari" w:eastAsia="Kinnari" w:hAnsi="Kinnari" w:cs="Kinnari"/>
          <w:color w:val="00000A"/>
          <w:sz w:val="24"/>
          <w:szCs w:val="24"/>
        </w:rPr>
        <w:t>比例資料？</w:t>
      </w:r>
      <w:r w:rsidR="002641F1">
        <w:rPr>
          <w:rFonts w:ascii="Kinnari" w:hAnsi="Kinnari" w:cs="Kinnari" w:hint="eastAsia"/>
          <w:color w:val="00000A"/>
          <w:sz w:val="24"/>
          <w:szCs w:val="24"/>
        </w:rPr>
        <w:t>(</w:t>
      </w:r>
      <w:r>
        <w:rPr>
          <w:rFonts w:ascii="Kinnari" w:eastAsia="Kinnari" w:hAnsi="Kinnari" w:cs="Kinnari"/>
          <w:color w:val="00000A"/>
          <w:sz w:val="24"/>
          <w:szCs w:val="24"/>
        </w:rPr>
        <w:t>pie chart data</w:t>
      </w:r>
      <w:r w:rsidR="002641F1">
        <w:rPr>
          <w:rFonts w:ascii="Kinnari" w:hAnsi="Kinnari" w:cs="Kinnari" w:hint="eastAsia"/>
          <w:color w:val="00000A"/>
          <w:sz w:val="24"/>
          <w:szCs w:val="24"/>
        </w:rPr>
        <w:t>)</w:t>
      </w:r>
      <w:r>
        <w:rPr>
          <w:rFonts w:ascii="Kinnari" w:eastAsia="Kinnari" w:hAnsi="Kinnari" w:cs="Kinnari"/>
          <w:color w:val="00000A"/>
          <w:sz w:val="24"/>
          <w:szCs w:val="24"/>
        </w:rPr>
        <w:t>(如生殖頻度: 75%的生殖族群每年繁殖2次，25%每年繁殖3次)等(Knapp 2003)。</w:t>
      </w:r>
      <w:r w:rsidR="00C674E8">
        <w:rPr>
          <w:rFonts w:ascii="Kinnari" w:eastAsia="Kinnari" w:hAnsi="Kinnari" w:cs="Kinnari"/>
          <w:color w:val="00000A"/>
          <w:sz w:val="24"/>
          <w:szCs w:val="24"/>
        </w:rPr>
        <w:t>然而，引用更多不夠精準的</w:t>
      </w:r>
      <w:r>
        <w:rPr>
          <w:rFonts w:ascii="Kinnari" w:eastAsia="Kinnari" w:hAnsi="Kinnari" w:cs="Kinnari"/>
          <w:color w:val="00000A"/>
          <w:sz w:val="24"/>
          <w:szCs w:val="24"/>
        </w:rPr>
        <w:t>資料</w:t>
      </w:r>
      <w:r w:rsidR="00BC2432">
        <w:rPr>
          <w:rFonts w:ascii="Kinnari" w:eastAsia="Kinnari" w:hAnsi="Kinnari" w:cs="Kinnari"/>
          <w:color w:val="00000A"/>
          <w:sz w:val="24"/>
          <w:szCs w:val="24"/>
        </w:rPr>
        <w:t>，儘管可以有效地將更多資訊轉變</w:t>
      </w:r>
      <w:r w:rsidR="00C674E8">
        <w:rPr>
          <w:rFonts w:ascii="Kinnari" w:hAnsi="Kinnari" w:cs="Kinnari" w:hint="eastAsia"/>
          <w:color w:val="00000A"/>
          <w:sz w:val="24"/>
          <w:szCs w:val="24"/>
        </w:rPr>
        <w:t>為</w:t>
      </w:r>
      <w:r>
        <w:rPr>
          <w:rFonts w:ascii="Kinnari" w:eastAsia="Kinnari" w:hAnsi="Kinnari" w:cs="Kinnari"/>
          <w:color w:val="00000A"/>
          <w:sz w:val="24"/>
          <w:szCs w:val="24"/>
        </w:rPr>
        <w:t>可以使用，但並</w:t>
      </w:r>
      <w:r w:rsidR="00C674E8">
        <w:rPr>
          <w:rFonts w:ascii="Kinnari" w:eastAsia="Kinnari" w:hAnsi="Kinnari" w:cs="Kinnari"/>
          <w:color w:val="00000A"/>
          <w:sz w:val="24"/>
          <w:szCs w:val="24"/>
        </w:rPr>
        <w:t>不見得可以</w:t>
      </w:r>
      <w:r>
        <w:rPr>
          <w:rFonts w:ascii="Kinnari" w:eastAsia="Kinnari" w:hAnsi="Kinnari" w:cs="Kinnari"/>
          <w:color w:val="00000A"/>
          <w:sz w:val="24"/>
          <w:szCs w:val="24"/>
        </w:rPr>
        <w:t>增加更多</w:t>
      </w:r>
      <w:r w:rsidR="00C674E8">
        <w:rPr>
          <w:rFonts w:ascii="Kinnari" w:hAnsi="Kinnari" w:cs="Kinnari" w:hint="eastAsia"/>
          <w:color w:val="00000A"/>
          <w:sz w:val="24"/>
          <w:szCs w:val="24"/>
        </w:rPr>
        <w:t>有用的評估</w:t>
      </w:r>
      <w:r>
        <w:rPr>
          <w:rFonts w:ascii="Kinnari" w:eastAsia="Kinnari" w:hAnsi="Kinnari" w:cs="Kinnari"/>
          <w:color w:val="00000A"/>
          <w:sz w:val="24"/>
          <w:szCs w:val="24"/>
        </w:rPr>
        <w:t>資訊</w:t>
      </w:r>
      <w:r w:rsidR="00C674E8">
        <w:rPr>
          <w:rFonts w:ascii="Kinnari" w:hAnsi="Kinnari" w:cs="Kinnari" w:hint="eastAsia"/>
          <w:color w:val="00000A"/>
          <w:sz w:val="24"/>
          <w:szCs w:val="24"/>
        </w:rPr>
        <w:t>。例</w:t>
      </w:r>
      <w:r>
        <w:rPr>
          <w:rFonts w:ascii="Kinnari" w:eastAsia="Kinnari" w:hAnsi="Kinnari" w:cs="Kinnari"/>
          <w:color w:val="00000A"/>
          <w:sz w:val="24"/>
          <w:szCs w:val="24"/>
        </w:rPr>
        <w:t>如:因為沒有A物種的生殖頻度相關資料，所以</w:t>
      </w:r>
      <w:r w:rsidR="00C674E8">
        <w:rPr>
          <w:rFonts w:ascii="Kinnari" w:hAnsi="Kinnari" w:cs="Kinnari" w:hint="eastAsia"/>
          <w:color w:val="00000A"/>
          <w:sz w:val="24"/>
          <w:szCs w:val="24"/>
        </w:rPr>
        <w:t>在評估時將</w:t>
      </w:r>
      <w:r>
        <w:rPr>
          <w:rFonts w:ascii="Kinnari" w:eastAsia="Kinnari" w:hAnsi="Kinnari" w:cs="Kinnari"/>
          <w:color w:val="00000A"/>
          <w:sz w:val="24"/>
          <w:szCs w:val="24"/>
        </w:rPr>
        <w:t>此數值設為A物種相近類群生殖頻度的最小值到最大值之間，每年0.5~5次</w:t>
      </w:r>
      <w:r>
        <w:rPr>
          <w:rFonts w:ascii="新細明體" w:eastAsia="新細明體" w:hAnsi="新細明體" w:cs="新細明體"/>
          <w:color w:val="00000A"/>
          <w:sz w:val="24"/>
          <w:szCs w:val="24"/>
        </w:rPr>
        <w:t>，然而這樣的資訊</w:t>
      </w:r>
      <w:r w:rsidR="00C674E8">
        <w:rPr>
          <w:rFonts w:ascii="新細明體" w:eastAsia="新細明體" w:hAnsi="新細明體" w:cs="新細明體"/>
          <w:color w:val="00000A"/>
          <w:sz w:val="24"/>
          <w:szCs w:val="24"/>
        </w:rPr>
        <w:t>可能仍</w:t>
      </w:r>
      <w:r>
        <w:rPr>
          <w:rFonts w:ascii="新細明體" w:eastAsia="新細明體" w:hAnsi="新細明體" w:cs="新細明體"/>
          <w:color w:val="00000A"/>
          <w:sz w:val="24"/>
          <w:szCs w:val="24"/>
        </w:rPr>
        <w:t>無法提供學者做</w:t>
      </w:r>
      <w:r w:rsidR="00C674E8">
        <w:rPr>
          <w:rFonts w:ascii="新細明體" w:eastAsia="新細明體" w:hAnsi="新細明體" w:cs="新細明體"/>
          <w:color w:val="00000A"/>
          <w:sz w:val="24"/>
          <w:szCs w:val="24"/>
        </w:rPr>
        <w:t>最後的保育</w:t>
      </w:r>
      <w:r>
        <w:rPr>
          <w:rFonts w:ascii="新細明體" w:eastAsia="新細明體" w:hAnsi="新細明體" w:cs="新細明體"/>
          <w:color w:val="00000A"/>
          <w:sz w:val="24"/>
          <w:szCs w:val="24"/>
        </w:rPr>
        <w:t>決策</w:t>
      </w:r>
      <w:r w:rsidR="00C674E8">
        <w:rPr>
          <w:rFonts w:ascii="新細明體" w:eastAsia="新細明體" w:hAnsi="新細明體" w:cs="新細明體"/>
          <w:color w:val="00000A"/>
          <w:sz w:val="24"/>
          <w:szCs w:val="24"/>
        </w:rPr>
        <w:t>之用</w:t>
      </w:r>
      <w:r w:rsidR="00C674E8">
        <w:rPr>
          <w:rFonts w:ascii="Kinnari" w:hAnsi="Kinnari" w:cs="Kinnari" w:hint="eastAsia"/>
          <w:color w:val="00000A"/>
          <w:sz w:val="24"/>
          <w:szCs w:val="24"/>
        </w:rPr>
        <w:t>。</w:t>
      </w:r>
      <w:r>
        <w:rPr>
          <w:rFonts w:ascii="Kinnari" w:eastAsia="Kinnari" w:hAnsi="Kinnari" w:cs="Kinnari"/>
          <w:color w:val="00000A"/>
          <w:sz w:val="24"/>
          <w:szCs w:val="24"/>
        </w:rPr>
        <w:t>因此</w:t>
      </w:r>
      <w:r w:rsidR="00C674E8">
        <w:rPr>
          <w:rFonts w:ascii="Kinnari" w:eastAsia="Kinnari" w:hAnsi="Kinnari" w:cs="Kinnari"/>
          <w:color w:val="00000A"/>
          <w:sz w:val="24"/>
          <w:szCs w:val="24"/>
        </w:rPr>
        <w:t>並</w:t>
      </w:r>
      <w:r>
        <w:rPr>
          <w:rFonts w:ascii="Kinnari" w:eastAsia="Kinnari" w:hAnsi="Kinnari" w:cs="Kinnari"/>
          <w:color w:val="00000A"/>
          <w:sz w:val="24"/>
          <w:szCs w:val="24"/>
        </w:rPr>
        <w:t>不被認為是一項好方法(Knapp 2003)。</w:t>
      </w:r>
    </w:p>
    <w:p w14:paraId="470DB82D"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745F6060" w14:textId="77777777" w:rsidR="002A1C85" w:rsidRDefault="001217C9">
      <w:pPr>
        <w:pStyle w:val="10"/>
        <w:widowControl w:val="0"/>
        <w:spacing w:before="240" w:line="360" w:lineRule="auto"/>
        <w:rPr>
          <w:rFonts w:ascii="Calibri" w:eastAsia="Calibri" w:hAnsi="Calibri" w:cs="Calibri"/>
          <w:color w:val="00000A"/>
          <w:sz w:val="24"/>
          <w:szCs w:val="24"/>
        </w:rPr>
      </w:pPr>
      <w:bookmarkStart w:id="58" w:name="_30j0zll" w:colFirst="0" w:colLast="0"/>
      <w:bookmarkEnd w:id="58"/>
      <w:r>
        <w:rPr>
          <w:rFonts w:ascii="AR PL UMing TW" w:eastAsia="AR PL UMing TW" w:hAnsi="AR PL UMing TW" w:cs="AR PL UMing TW"/>
          <w:color w:val="00000A"/>
          <w:sz w:val="24"/>
          <w:szCs w:val="24"/>
        </w:rPr>
        <w:t>整合以上的</w:t>
      </w:r>
      <w:r w:rsidR="006934B7">
        <w:rPr>
          <w:rFonts w:ascii="AR PL UMing TW" w:eastAsia="AR PL UMing TW" w:hAnsi="AR PL UMing TW" w:cs="AR PL UMing TW"/>
          <w:color w:val="00000A"/>
          <w:sz w:val="24"/>
          <w:szCs w:val="24"/>
        </w:rPr>
        <w:t>討論</w:t>
      </w:r>
      <w:r>
        <w:rPr>
          <w:rFonts w:ascii="AR PL UMing TW" w:eastAsia="AR PL UMing TW" w:hAnsi="AR PL UMing TW" w:cs="AR PL UMing TW"/>
          <w:color w:val="00000A"/>
          <w:sz w:val="24"/>
          <w:szCs w:val="24"/>
        </w:rPr>
        <w:t>，當要建立指標並彙整資料進行評估時</w:t>
      </w:r>
      <w:r w:rsidR="00FC2CF8">
        <w:rPr>
          <w:rFonts w:ascii="AR PL UMing TW" w:eastAsia="AR PL UMing TW" w:hAnsi="AR PL UMing TW" w:cs="AR PL UMing TW"/>
          <w:color w:val="00000A"/>
          <w:sz w:val="24"/>
          <w:szCs w:val="24"/>
        </w:rPr>
        <w:t>，如果遇到資料缺乏的狀況時</w:t>
      </w:r>
      <w:r>
        <w:rPr>
          <w:rFonts w:ascii="AR PL UMing TW" w:eastAsia="AR PL UMing TW" w:hAnsi="AR PL UMing TW" w:cs="AR PL UMing TW"/>
          <w:color w:val="00000A"/>
          <w:sz w:val="24"/>
          <w:szCs w:val="24"/>
        </w:rPr>
        <w:t>，</w:t>
      </w:r>
      <w:r w:rsidR="00FC2CF8">
        <w:rPr>
          <w:rFonts w:ascii="AR PL UMing TW" w:eastAsia="AR PL UMing TW" w:hAnsi="AR PL UMing TW" w:cs="AR PL UMing TW"/>
          <w:color w:val="00000A"/>
          <w:sz w:val="24"/>
          <w:szCs w:val="24"/>
        </w:rPr>
        <w:t>建議</w:t>
      </w:r>
      <w:r>
        <w:rPr>
          <w:rFonts w:ascii="新細明體" w:eastAsia="新細明體" w:hAnsi="新細明體" w:cs="新細明體"/>
          <w:color w:val="00000A"/>
          <w:sz w:val="24"/>
          <w:szCs w:val="24"/>
        </w:rPr>
        <w:t>可</w:t>
      </w:r>
      <w:r w:rsidR="00FC2CF8">
        <w:rPr>
          <w:rFonts w:ascii="AR PL UMing TW" w:hAnsi="AR PL UMing TW" w:cs="AR PL UMing TW" w:hint="eastAsia"/>
          <w:color w:val="00000A"/>
          <w:sz w:val="24"/>
          <w:szCs w:val="24"/>
        </w:rPr>
        <w:t>以</w:t>
      </w:r>
      <w:r>
        <w:rPr>
          <w:rFonts w:ascii="AR PL UMing TW" w:eastAsia="AR PL UMing TW" w:hAnsi="AR PL UMing TW" w:cs="AR PL UMing TW"/>
          <w:color w:val="00000A"/>
          <w:sz w:val="24"/>
          <w:szCs w:val="24"/>
        </w:rPr>
        <w:t>圖三的</w:t>
      </w:r>
      <w:r w:rsidR="00FC2CF8">
        <w:rPr>
          <w:rFonts w:ascii="AR PL UMing TW" w:hAnsi="AR PL UMing TW" w:cs="AR PL UMing TW" w:hint="eastAsia"/>
          <w:color w:val="00000A"/>
          <w:sz w:val="24"/>
          <w:szCs w:val="24"/>
        </w:rPr>
        <w:t>流程</w:t>
      </w:r>
      <w:r>
        <w:rPr>
          <w:rFonts w:ascii="AR PL UMing TW" w:eastAsia="AR PL UMing TW" w:hAnsi="AR PL UMing TW" w:cs="AR PL UMing TW"/>
          <w:color w:val="00000A"/>
          <w:sz w:val="24"/>
          <w:szCs w:val="24"/>
        </w:rPr>
        <w:t>依序進行。首先選擇使用某指標時</w:t>
      </w:r>
      <w:r w:rsidR="00FC2CF8">
        <w:rPr>
          <w:rFonts w:ascii="AR PL UMing TW" w:eastAsia="AR PL UMing TW" w:hAnsi="AR PL UMing TW" w:cs="AR PL UMing TW"/>
          <w:color w:val="00000A"/>
          <w:sz w:val="24"/>
          <w:szCs w:val="24"/>
        </w:rPr>
        <w:t>應</w:t>
      </w:r>
      <w:r>
        <w:rPr>
          <w:rFonts w:ascii="AR PL UMing TW" w:eastAsia="AR PL UMing TW" w:hAnsi="AR PL UMing TW" w:cs="AR PL UMing TW"/>
          <w:color w:val="00000A"/>
          <w:sz w:val="24"/>
          <w:szCs w:val="24"/>
        </w:rPr>
        <w:t>先思考</w:t>
      </w:r>
      <w:r w:rsidR="00FC2CF8">
        <w:rPr>
          <w:rFonts w:ascii="AR PL UMing TW" w:eastAsia="AR PL UMing TW" w:hAnsi="AR PL UMing TW" w:cs="AR PL UMing TW"/>
          <w:color w:val="00000A"/>
          <w:sz w:val="24"/>
          <w:szCs w:val="24"/>
        </w:rPr>
        <w:t>，或是依據經驗判斷</w:t>
      </w:r>
      <w:r>
        <w:rPr>
          <w:rFonts w:ascii="AR PL UMing TW" w:eastAsia="AR PL UMing TW" w:hAnsi="AR PL UMing TW" w:cs="AR PL UMing TW"/>
          <w:color w:val="00000A"/>
          <w:sz w:val="24"/>
          <w:szCs w:val="24"/>
        </w:rPr>
        <w:t>，該</w:t>
      </w:r>
      <w:r w:rsidR="00FC2CF8">
        <w:rPr>
          <w:rFonts w:ascii="AR PL UMing TW" w:eastAsia="AR PL UMing TW" w:hAnsi="AR PL UMing TW" w:cs="AR PL UMing TW"/>
          <w:color w:val="00000A"/>
          <w:sz w:val="24"/>
          <w:szCs w:val="24"/>
        </w:rPr>
        <w:t>類</w:t>
      </w:r>
      <w:r>
        <w:rPr>
          <w:rFonts w:ascii="AR PL UMing TW" w:eastAsia="AR PL UMing TW" w:hAnsi="AR PL UMing TW" w:cs="AR PL UMing TW"/>
          <w:color w:val="00000A"/>
          <w:sz w:val="24"/>
          <w:szCs w:val="24"/>
        </w:rPr>
        <w:t>指標資料</w:t>
      </w:r>
      <w:r w:rsidR="00FC2CF8">
        <w:rPr>
          <w:rFonts w:ascii="AR PL UMing TW" w:eastAsia="AR PL UMing TW" w:hAnsi="AR PL UMing TW" w:cs="AR PL UMing TW"/>
          <w:color w:val="00000A"/>
          <w:sz w:val="24"/>
          <w:szCs w:val="24"/>
        </w:rPr>
        <w:t>是否</w:t>
      </w:r>
      <w:r>
        <w:rPr>
          <w:rFonts w:ascii="AR PL UMing TW" w:eastAsia="AR PL UMing TW" w:hAnsi="AR PL UMing TW" w:cs="AR PL UMing TW"/>
          <w:color w:val="00000A"/>
          <w:sz w:val="24"/>
          <w:szCs w:val="24"/>
        </w:rPr>
        <w:t>充足</w:t>
      </w:r>
      <w:r w:rsidR="00FC2CF8">
        <w:rPr>
          <w:rFonts w:ascii="AR PL UMing TW" w:eastAsia="AR PL UMing TW" w:hAnsi="AR PL UMing TW" w:cs="AR PL UMing TW"/>
          <w:color w:val="00000A"/>
          <w:sz w:val="24"/>
          <w:szCs w:val="24"/>
        </w:rPr>
        <w:t>，或是必要，但可能遇到不足的情況</w:t>
      </w:r>
      <w:r>
        <w:rPr>
          <w:rFonts w:ascii="AR PL UMing TW" w:eastAsia="AR PL UMing TW" w:hAnsi="AR PL UMing TW" w:cs="AR PL UMing TW"/>
          <w:color w:val="00000A"/>
          <w:sz w:val="24"/>
          <w:szCs w:val="24"/>
        </w:rPr>
        <w:t>，接著</w:t>
      </w:r>
      <w:r w:rsidR="00FC2CF8">
        <w:rPr>
          <w:rFonts w:ascii="AR PL UMing TW" w:eastAsia="AR PL UMing TW" w:hAnsi="AR PL UMing TW" w:cs="AR PL UMing TW"/>
          <w:color w:val="00000A"/>
          <w:sz w:val="24"/>
          <w:szCs w:val="24"/>
        </w:rPr>
        <w:t>先</w:t>
      </w:r>
      <w:r>
        <w:rPr>
          <w:rFonts w:ascii="AR PL UMing TW" w:eastAsia="AR PL UMing TW" w:hAnsi="AR PL UMing TW" w:cs="AR PL UMing TW"/>
          <w:color w:val="00000A"/>
          <w:sz w:val="24"/>
          <w:szCs w:val="24"/>
        </w:rPr>
        <w:t>從正式出版文獻中去尋找，若是沒有則從灰色文獻中去尋找資料，若是依然缺乏資料，則</w:t>
      </w:r>
      <w:r w:rsidR="00FC2CF8">
        <w:rPr>
          <w:rFonts w:ascii="AR PL UMing TW" w:eastAsia="AR PL UMing TW" w:hAnsi="AR PL UMing TW" w:cs="AR PL UMing TW"/>
          <w:color w:val="00000A"/>
          <w:sz w:val="24"/>
          <w:szCs w:val="24"/>
        </w:rPr>
        <w:t>仍可</w:t>
      </w:r>
      <w:r>
        <w:rPr>
          <w:rFonts w:ascii="AR PL UMing TW" w:eastAsia="AR PL UMing TW" w:hAnsi="AR PL UMing TW" w:cs="AR PL UMing TW"/>
          <w:color w:val="00000A"/>
          <w:sz w:val="24"/>
          <w:szCs w:val="24"/>
        </w:rPr>
        <w:t>往兩個方向去考慮，一為直接詢問多位物種專家提供資訊</w:t>
      </w:r>
      <w:r>
        <w:rPr>
          <w:rFonts w:ascii="新細明體" w:eastAsia="新細明體" w:hAnsi="新細明體" w:cs="新細明體"/>
          <w:color w:val="00000A"/>
          <w:sz w:val="24"/>
          <w:szCs w:val="24"/>
        </w:rPr>
        <w:t>(</w:t>
      </w:r>
      <w:r w:rsidR="00FC2CF8">
        <w:rPr>
          <w:rFonts w:ascii="新細明體" w:eastAsia="新細明體" w:hAnsi="新細明體" w:cs="新細明體"/>
          <w:color w:val="00000A"/>
          <w:sz w:val="24"/>
          <w:szCs w:val="24"/>
        </w:rPr>
        <w:t>盡量</w:t>
      </w:r>
      <w:r>
        <w:rPr>
          <w:rFonts w:ascii="新細明體" w:eastAsia="新細明體" w:hAnsi="新細明體" w:cs="新細明體"/>
          <w:color w:val="00000A"/>
          <w:sz w:val="24"/>
          <w:szCs w:val="24"/>
        </w:rPr>
        <w:t>避免只徵詢一位)；</w:t>
      </w:r>
      <w:r>
        <w:rPr>
          <w:rFonts w:ascii="AR PL UMing TW" w:eastAsia="AR PL UMing TW" w:hAnsi="AR PL UMing TW" w:cs="AR PL UMing TW"/>
          <w:color w:val="00000A"/>
          <w:sz w:val="24"/>
          <w:szCs w:val="24"/>
        </w:rPr>
        <w:t>另一為使用替代物種資料，選擇恰當的指標物種資料來補足缺乏的資訊。</w:t>
      </w:r>
    </w:p>
    <w:p w14:paraId="0A012E67" w14:textId="77777777" w:rsidR="002A1C85" w:rsidRDefault="002A1C85">
      <w:pPr>
        <w:pStyle w:val="10"/>
        <w:widowControl w:val="0"/>
        <w:spacing w:line="360" w:lineRule="auto"/>
        <w:rPr>
          <w:rFonts w:ascii="AR PL UMing TW" w:eastAsia="AR PL UMing TW" w:hAnsi="AR PL UMing TW" w:cs="AR PL UMing TW"/>
          <w:color w:val="00000A"/>
          <w:sz w:val="24"/>
          <w:szCs w:val="24"/>
        </w:rPr>
      </w:pPr>
    </w:p>
    <w:p w14:paraId="6A5DCBB4" w14:textId="77777777" w:rsidR="002A1C85" w:rsidRDefault="001217C9">
      <w:pPr>
        <w:pStyle w:val="10"/>
        <w:widowControl w:val="0"/>
        <w:spacing w:line="360" w:lineRule="auto"/>
        <w:jc w:val="center"/>
        <w:rPr>
          <w:rFonts w:ascii="新細明體" w:eastAsia="新細明體" w:hAnsi="新細明體" w:cs="新細明體"/>
          <w:color w:val="00000A"/>
          <w:sz w:val="24"/>
          <w:szCs w:val="24"/>
        </w:rPr>
      </w:pPr>
      <w:r>
        <w:rPr>
          <w:noProof/>
        </w:rPr>
        <w:lastRenderedPageBreak/>
        <w:drawing>
          <wp:inline distT="0" distB="0" distL="114300" distR="114300" wp14:anchorId="6A3EBE05" wp14:editId="040CB816">
            <wp:extent cx="2585720" cy="248475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cstate="print"/>
                    <a:srcRect/>
                    <a:stretch>
                      <a:fillRect/>
                    </a:stretch>
                  </pic:blipFill>
                  <pic:spPr>
                    <a:xfrm>
                      <a:off x="0" y="0"/>
                      <a:ext cx="2585720" cy="2484755"/>
                    </a:xfrm>
                    <a:prstGeom prst="rect">
                      <a:avLst/>
                    </a:prstGeom>
                    <a:ln/>
                  </pic:spPr>
                </pic:pic>
              </a:graphicData>
            </a:graphic>
          </wp:inline>
        </w:drawing>
      </w:r>
    </w:p>
    <w:p w14:paraId="2B5CB1A0" w14:textId="77777777" w:rsidR="002A1C85" w:rsidRDefault="002A1C85">
      <w:pPr>
        <w:pStyle w:val="10"/>
        <w:widowControl w:val="0"/>
        <w:spacing w:line="360" w:lineRule="auto"/>
        <w:jc w:val="both"/>
        <w:rPr>
          <w:rFonts w:ascii="Kinnari" w:eastAsia="Kinnari" w:hAnsi="Kinnari" w:cs="Kinnari"/>
          <w:color w:val="00000A"/>
          <w:sz w:val="24"/>
          <w:szCs w:val="24"/>
        </w:rPr>
      </w:pPr>
    </w:p>
    <w:p w14:paraId="1E171CEC" w14:textId="77777777" w:rsidR="002A1C85" w:rsidRDefault="002A1C85">
      <w:pPr>
        <w:pStyle w:val="10"/>
        <w:widowControl w:val="0"/>
        <w:spacing w:line="360" w:lineRule="auto"/>
        <w:jc w:val="both"/>
        <w:rPr>
          <w:rFonts w:ascii="新細明體" w:eastAsia="新細明體" w:hAnsi="新細明體" w:cs="新細明體"/>
          <w:sz w:val="24"/>
          <w:szCs w:val="24"/>
          <w:highlight w:val="yellow"/>
        </w:rPr>
      </w:pPr>
    </w:p>
    <w:p w14:paraId="77BD3C62"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[二、從主觀</w:t>
      </w:r>
      <w:r>
        <w:rPr>
          <w:rFonts w:ascii="新細明體" w:eastAsia="新細明體" w:hAnsi="新細明體" w:cs="新細明體"/>
          <w:color w:val="00000A"/>
          <w:sz w:val="24"/>
          <w:szCs w:val="24"/>
        </w:rPr>
        <w:t>的價值判斷</w:t>
      </w:r>
      <w:r>
        <w:rPr>
          <w:rFonts w:ascii="Kinnari" w:eastAsia="Kinnari" w:hAnsi="Kinnari" w:cs="Kinnari"/>
          <w:color w:val="00000A"/>
          <w:sz w:val="24"/>
          <w:szCs w:val="24"/>
        </w:rPr>
        <w:t>到客觀</w:t>
      </w:r>
      <w:r>
        <w:rPr>
          <w:rFonts w:ascii="新細明體" w:eastAsia="新細明體" w:hAnsi="新細明體" w:cs="新細明體"/>
          <w:color w:val="00000A"/>
          <w:sz w:val="24"/>
          <w:szCs w:val="24"/>
        </w:rPr>
        <w:t>的</w:t>
      </w:r>
      <w:r>
        <w:rPr>
          <w:rFonts w:ascii="Kinnari" w:eastAsia="Kinnari" w:hAnsi="Kinnari" w:cs="Kinnari"/>
          <w:color w:val="00000A"/>
          <w:sz w:val="24"/>
          <w:szCs w:val="24"/>
        </w:rPr>
        <w:t>共識]</w:t>
      </w:r>
    </w:p>
    <w:p w14:paraId="31C273B6" w14:textId="77777777" w:rsidR="002A1C85" w:rsidRDefault="001217C9">
      <w:pPr>
        <w:pStyle w:val="10"/>
        <w:widowControl w:val="0"/>
        <w:spacing w:line="360" w:lineRule="auto"/>
        <w:jc w:val="both"/>
        <w:rPr>
          <w:rFonts w:ascii="Calibri" w:eastAsia="Calibri" w:hAnsi="Calibri" w:cs="Calibri"/>
          <w:color w:val="00000A"/>
          <w:sz w:val="24"/>
          <w:szCs w:val="24"/>
        </w:rPr>
      </w:pPr>
      <w:r>
        <w:rPr>
          <w:rFonts w:ascii="Kinnari" w:eastAsia="Kinnari" w:hAnsi="Kinnari" w:cs="Kinnari"/>
          <w:color w:val="00000A"/>
          <w:sz w:val="24"/>
          <w:szCs w:val="24"/>
        </w:rPr>
        <w:t>所有試圖提出排序系統的學者，都希望能夠設計出一套客觀的系統，然而在生態保育的議題上，要達到客觀是不可能的。例如:物種的保育價值應該由哪些保育目標構成，各自的權重為多少，這完全是主觀判斷的議題。</w:t>
      </w:r>
      <w:r w:rsidR="009234CF">
        <w:rPr>
          <w:rFonts w:ascii="新細明體" w:eastAsia="新細明體" w:hAnsi="新細明體" w:cs="新細明體"/>
          <w:color w:val="00000A"/>
          <w:sz w:val="24"/>
          <w:szCs w:val="24"/>
        </w:rPr>
        <w:t>因此若</w:t>
      </w:r>
      <w:r>
        <w:rPr>
          <w:rFonts w:ascii="新細明體" w:eastAsia="新細明體" w:hAnsi="新細明體" w:cs="新細明體"/>
          <w:color w:val="00000A"/>
          <w:sz w:val="24"/>
          <w:szCs w:val="24"/>
        </w:rPr>
        <w:t>只根據單一評估者的價值判斷決定接下來的保育行動規劃走向是非常</w:t>
      </w:r>
      <w:r w:rsidR="009234CF">
        <w:rPr>
          <w:rFonts w:ascii="新細明體" w:eastAsia="新細明體" w:hAnsi="新細明體" w:cs="新細明體"/>
          <w:color w:val="00000A"/>
          <w:sz w:val="24"/>
          <w:szCs w:val="24"/>
        </w:rPr>
        <w:t>危險</w:t>
      </w:r>
      <w:r>
        <w:rPr>
          <w:rFonts w:ascii="新細明體" w:eastAsia="新細明體" w:hAnsi="新細明體" w:cs="新細明體"/>
          <w:color w:val="00000A"/>
          <w:sz w:val="24"/>
          <w:szCs w:val="24"/>
        </w:rPr>
        <w:t>的。</w:t>
      </w:r>
      <w:r w:rsidR="009234CF">
        <w:rPr>
          <w:rFonts w:ascii="新細明體" w:eastAsia="新細明體" w:hAnsi="新細明體" w:cs="新細明體"/>
          <w:color w:val="00000A"/>
          <w:sz w:val="24"/>
          <w:szCs w:val="24"/>
        </w:rPr>
        <w:t>當保育行動因</w:t>
      </w:r>
      <w:r>
        <w:rPr>
          <w:rFonts w:ascii="新細明體" w:eastAsia="新細明體" w:hAnsi="新細明體" w:cs="新細明體"/>
          <w:color w:val="00000A"/>
          <w:sz w:val="24"/>
          <w:szCs w:val="24"/>
        </w:rPr>
        <w:t>不被廣泛認同，</w:t>
      </w:r>
      <w:r w:rsidR="009234CF">
        <w:rPr>
          <w:rFonts w:ascii="新細明體" w:eastAsia="新細明體" w:hAnsi="新細明體" w:cs="新細明體" w:hint="eastAsia"/>
          <w:color w:val="00000A"/>
          <w:sz w:val="24"/>
          <w:szCs w:val="24"/>
        </w:rPr>
        <w:t>而</w:t>
      </w:r>
      <w:r>
        <w:rPr>
          <w:rFonts w:ascii="新細明體" w:eastAsia="新細明體" w:hAnsi="新細明體" w:cs="新細明體"/>
          <w:color w:val="00000A"/>
          <w:sz w:val="24"/>
          <w:szCs w:val="24"/>
        </w:rPr>
        <w:t>無法長久持續</w:t>
      </w:r>
      <w:r w:rsidR="009234CF">
        <w:rPr>
          <w:rFonts w:ascii="新細明體" w:eastAsia="新細明體" w:hAnsi="新細明體" w:cs="新細明體"/>
          <w:color w:val="00000A"/>
          <w:sz w:val="24"/>
          <w:szCs w:val="24"/>
        </w:rPr>
        <w:t>時</w:t>
      </w:r>
      <w:r>
        <w:rPr>
          <w:rFonts w:ascii="新細明體" w:eastAsia="新細明體" w:hAnsi="新細明體" w:cs="新細明體"/>
          <w:color w:val="00000A"/>
          <w:sz w:val="24"/>
          <w:szCs w:val="24"/>
        </w:rPr>
        <w:t>，</w:t>
      </w:r>
      <w:r w:rsidR="009234CF">
        <w:rPr>
          <w:rFonts w:ascii="新細明體" w:eastAsia="新細明體" w:hAnsi="新細明體" w:cs="新細明體"/>
          <w:color w:val="00000A"/>
          <w:sz w:val="24"/>
          <w:szCs w:val="24"/>
        </w:rPr>
        <w:t>將</w:t>
      </w:r>
      <w:r>
        <w:rPr>
          <w:rFonts w:ascii="新細明體" w:eastAsia="新細明體" w:hAnsi="新細明體" w:cs="新細明體"/>
          <w:color w:val="00000A"/>
          <w:sz w:val="24"/>
          <w:szCs w:val="24"/>
        </w:rPr>
        <w:t>很容易導致行動</w:t>
      </w:r>
      <w:r w:rsidR="009234CF">
        <w:rPr>
          <w:rFonts w:ascii="新細明體" w:eastAsia="新細明體" w:hAnsi="新細明體" w:cs="新細明體"/>
          <w:color w:val="00000A"/>
          <w:sz w:val="24"/>
          <w:szCs w:val="24"/>
        </w:rPr>
        <w:t>的</w:t>
      </w:r>
      <w:r>
        <w:rPr>
          <w:rFonts w:ascii="新細明體" w:eastAsia="新細明體" w:hAnsi="新細明體" w:cs="新細明體"/>
          <w:color w:val="00000A"/>
          <w:sz w:val="24"/>
          <w:szCs w:val="24"/>
        </w:rPr>
        <w:t>失敗。在保育</w:t>
      </w:r>
      <w:r w:rsidR="009234CF">
        <w:rPr>
          <w:rFonts w:ascii="新細明體" w:eastAsia="新細明體" w:hAnsi="新細明體" w:cs="新細明體"/>
          <w:color w:val="00000A"/>
          <w:sz w:val="24"/>
          <w:szCs w:val="24"/>
        </w:rPr>
        <w:t>措施</w:t>
      </w:r>
      <w:r>
        <w:rPr>
          <w:rFonts w:ascii="新細明體" w:eastAsia="新細明體" w:hAnsi="新細明體" w:cs="新細明體"/>
          <w:color w:val="00000A"/>
          <w:sz w:val="24"/>
          <w:szCs w:val="24"/>
        </w:rPr>
        <w:t>上經常遇到規劃與執行並</w:t>
      </w:r>
      <w:r w:rsidR="009234CF">
        <w:rPr>
          <w:rFonts w:ascii="新細明體" w:eastAsia="新細明體" w:hAnsi="新細明體" w:cs="新細明體"/>
          <w:color w:val="00000A"/>
          <w:sz w:val="24"/>
          <w:szCs w:val="24"/>
        </w:rPr>
        <w:t>非</w:t>
      </w:r>
      <w:r>
        <w:rPr>
          <w:rFonts w:ascii="新細明體" w:eastAsia="新細明體" w:hAnsi="新細明體" w:cs="新細明體"/>
          <w:color w:val="00000A"/>
          <w:sz w:val="24"/>
          <w:szCs w:val="24"/>
        </w:rPr>
        <w:t>同一團隊，導致執行團隊不了解</w:t>
      </w:r>
      <w:r w:rsidR="009234CF">
        <w:rPr>
          <w:rFonts w:ascii="新細明體" w:eastAsia="新細明體" w:hAnsi="新細明體" w:cs="新細明體" w:hint="eastAsia"/>
          <w:color w:val="00000A"/>
          <w:sz w:val="24"/>
          <w:szCs w:val="24"/>
        </w:rPr>
        <w:t>甚至是</w:t>
      </w:r>
      <w:r>
        <w:rPr>
          <w:rFonts w:ascii="新細明體" w:eastAsia="新細明體" w:hAnsi="新細明體" w:cs="新細明體"/>
          <w:color w:val="00000A"/>
          <w:sz w:val="24"/>
          <w:szCs w:val="24"/>
        </w:rPr>
        <w:t>不認同</w:t>
      </w:r>
      <w:r w:rsidR="009234CF">
        <w:rPr>
          <w:rFonts w:ascii="新細明體" w:eastAsia="新細明體" w:hAnsi="新細明體" w:cs="新細明體"/>
          <w:color w:val="00000A"/>
          <w:sz w:val="24"/>
          <w:szCs w:val="24"/>
        </w:rPr>
        <w:t>需要</w:t>
      </w:r>
      <w:r>
        <w:rPr>
          <w:rFonts w:ascii="新細明體" w:eastAsia="新細明體" w:hAnsi="新細明體" w:cs="新細明體"/>
          <w:color w:val="00000A"/>
          <w:sz w:val="24"/>
          <w:szCs w:val="24"/>
        </w:rPr>
        <w:t>實行</w:t>
      </w:r>
      <w:r w:rsidR="009234CF">
        <w:rPr>
          <w:rFonts w:ascii="新細明體" w:eastAsia="新細明體" w:hAnsi="新細明體" w:cs="新細明體" w:hint="eastAsia"/>
          <w:color w:val="00000A"/>
          <w:sz w:val="24"/>
          <w:szCs w:val="24"/>
        </w:rPr>
        <w:t>的</w:t>
      </w:r>
      <w:r>
        <w:rPr>
          <w:rFonts w:ascii="新細明體" w:eastAsia="新細明體" w:hAnsi="新細明體" w:cs="新細明體"/>
          <w:color w:val="00000A"/>
          <w:sz w:val="24"/>
          <w:szCs w:val="24"/>
        </w:rPr>
        <w:t>保育行動，因此</w:t>
      </w:r>
      <w:r w:rsidR="009234CF">
        <w:rPr>
          <w:rFonts w:ascii="新細明體" w:eastAsia="新細明體" w:hAnsi="新細明體" w:cs="新細明體"/>
          <w:color w:val="00000A"/>
          <w:sz w:val="24"/>
          <w:szCs w:val="24"/>
        </w:rPr>
        <w:t>在行動中的士氣與</w:t>
      </w:r>
      <w:r>
        <w:rPr>
          <w:rFonts w:ascii="新細明體" w:eastAsia="新細明體" w:hAnsi="新細明體" w:cs="新細明體"/>
          <w:color w:val="00000A"/>
          <w:sz w:val="24"/>
          <w:szCs w:val="24"/>
        </w:rPr>
        <w:t>意願持續下降，使得最後該項保育行動無疾而終(Game 2013)。</w:t>
      </w:r>
      <w:r w:rsidR="00C216BE">
        <w:rPr>
          <w:rFonts w:ascii="新細明體" w:eastAsia="新細明體" w:hAnsi="新細明體" w:cs="新細明體"/>
          <w:color w:val="00000A"/>
          <w:sz w:val="24"/>
          <w:szCs w:val="24"/>
        </w:rPr>
        <w:t>或許在面對</w:t>
      </w:r>
      <w:r>
        <w:rPr>
          <w:rFonts w:ascii="Kinnari" w:eastAsia="Kinnari" w:hAnsi="Kinnari" w:cs="Kinnari"/>
          <w:color w:val="00000A"/>
          <w:sz w:val="24"/>
          <w:szCs w:val="24"/>
        </w:rPr>
        <w:t>這</w:t>
      </w:r>
      <w:r w:rsidR="00C216BE">
        <w:rPr>
          <w:rFonts w:ascii="Kinnari" w:hAnsi="Kinnari" w:cs="Kinnari" w:hint="eastAsia"/>
          <w:color w:val="00000A"/>
          <w:sz w:val="24"/>
          <w:szCs w:val="24"/>
        </w:rPr>
        <w:t>類</w:t>
      </w:r>
      <w:r>
        <w:rPr>
          <w:rFonts w:ascii="Kinnari" w:eastAsia="Kinnari" w:hAnsi="Kinnari" w:cs="Kinnari"/>
          <w:color w:val="00000A"/>
          <w:sz w:val="24"/>
          <w:szCs w:val="24"/>
        </w:rPr>
        <w:t>沒有客觀解答的議題</w:t>
      </w:r>
      <w:r w:rsidR="00C216BE">
        <w:rPr>
          <w:rFonts w:ascii="Kinnari" w:hAnsi="Kinnari" w:cs="Kinnari" w:hint="eastAsia"/>
          <w:color w:val="00000A"/>
          <w:sz w:val="24"/>
          <w:szCs w:val="24"/>
        </w:rPr>
        <w:t>時</w:t>
      </w:r>
      <w:r>
        <w:rPr>
          <w:rFonts w:ascii="Kinnari" w:eastAsia="Kinnari" w:hAnsi="Kinnari" w:cs="Kinnari"/>
          <w:color w:val="00000A"/>
          <w:sz w:val="24"/>
          <w:szCs w:val="24"/>
        </w:rPr>
        <w:t>，最客觀的方式</w:t>
      </w:r>
      <w:r w:rsidR="00C216BE">
        <w:rPr>
          <w:rFonts w:ascii="Kinnari" w:eastAsia="Kinnari" w:hAnsi="Kinnari" w:cs="Kinnari"/>
          <w:color w:val="00000A"/>
          <w:sz w:val="24"/>
          <w:szCs w:val="24"/>
        </w:rPr>
        <w:t>是</w:t>
      </w:r>
      <w:r>
        <w:rPr>
          <w:rFonts w:ascii="Kinnari" w:eastAsia="Kinnari" w:hAnsi="Kinnari" w:cs="Kinnari"/>
          <w:color w:val="00000A"/>
          <w:sz w:val="24"/>
          <w:szCs w:val="24"/>
        </w:rPr>
        <w:t>靠集結多個主觀看法</w:t>
      </w:r>
      <w:r w:rsidR="00C216BE">
        <w:rPr>
          <w:rFonts w:ascii="Kinnari" w:eastAsia="Kinnari" w:hAnsi="Kinnari" w:cs="Kinnari"/>
          <w:color w:val="00000A"/>
          <w:sz w:val="24"/>
          <w:szCs w:val="24"/>
        </w:rPr>
        <w:t>，透過不同看法的討論，彼此</w:t>
      </w:r>
      <w:r>
        <w:rPr>
          <w:rFonts w:ascii="Kinnari" w:eastAsia="Kinnari" w:hAnsi="Kinnari" w:cs="Kinnari"/>
          <w:color w:val="00000A"/>
          <w:sz w:val="24"/>
          <w:szCs w:val="24"/>
        </w:rPr>
        <w:t>形成共識，</w:t>
      </w:r>
      <w:r w:rsidR="00C216BE">
        <w:rPr>
          <w:rFonts w:ascii="Kinnari" w:hAnsi="Kinnari" w:cs="Kinnari" w:hint="eastAsia"/>
          <w:color w:val="00000A"/>
          <w:sz w:val="24"/>
          <w:szCs w:val="24"/>
        </w:rPr>
        <w:t>才</w:t>
      </w:r>
      <w:r>
        <w:rPr>
          <w:rFonts w:ascii="Kinnari" w:eastAsia="Kinnari" w:hAnsi="Kinnari" w:cs="Kinnari"/>
          <w:color w:val="00000A"/>
          <w:sz w:val="24"/>
          <w:szCs w:val="24"/>
        </w:rPr>
        <w:t>進行決議。</w:t>
      </w:r>
      <w:r w:rsidR="00C216BE">
        <w:rPr>
          <w:rFonts w:ascii="Kinnari" w:eastAsia="Kinnari" w:hAnsi="Kinnari" w:cs="Kinnari"/>
          <w:color w:val="00000A"/>
          <w:sz w:val="24"/>
          <w:szCs w:val="24"/>
        </w:rPr>
        <w:t>因此保育行動的實際規劃，</w:t>
      </w:r>
      <w:r>
        <w:rPr>
          <w:rFonts w:ascii="Kinnari" w:eastAsia="Kinnari" w:hAnsi="Kinnari" w:cs="Kinnari"/>
          <w:color w:val="00000A"/>
          <w:sz w:val="24"/>
          <w:szCs w:val="24"/>
        </w:rPr>
        <w:t>必須</w:t>
      </w:r>
      <w:r>
        <w:rPr>
          <w:rFonts w:ascii="新細明體" w:eastAsia="新細明體" w:hAnsi="新細明體" w:cs="新細明體"/>
          <w:color w:val="00000A"/>
          <w:sz w:val="24"/>
          <w:szCs w:val="24"/>
        </w:rPr>
        <w:t>讓</w:t>
      </w:r>
      <w:r>
        <w:rPr>
          <w:rFonts w:ascii="Kinnari" w:eastAsia="Kinnari" w:hAnsi="Kinnari" w:cs="Kinnari"/>
          <w:color w:val="00000A"/>
          <w:sz w:val="24"/>
          <w:szCs w:val="24"/>
        </w:rPr>
        <w:t>從</w:t>
      </w:r>
      <w:r>
        <w:rPr>
          <w:rFonts w:ascii="新細明體" w:eastAsia="新細明體" w:hAnsi="新細明體" w:cs="新細明體"/>
          <w:color w:val="00000A"/>
          <w:sz w:val="24"/>
          <w:szCs w:val="24"/>
        </w:rPr>
        <w:t>開始</w:t>
      </w:r>
      <w:r>
        <w:rPr>
          <w:rFonts w:ascii="Kinnari" w:eastAsia="Kinnari" w:hAnsi="Kinnari" w:cs="Kinnari"/>
          <w:color w:val="00000A"/>
          <w:sz w:val="24"/>
          <w:szCs w:val="24"/>
        </w:rPr>
        <w:t>規劃到</w:t>
      </w:r>
      <w:r>
        <w:rPr>
          <w:rFonts w:ascii="新細明體" w:eastAsia="新細明體" w:hAnsi="新細明體" w:cs="新細明體"/>
          <w:color w:val="00000A"/>
          <w:sz w:val="24"/>
          <w:szCs w:val="24"/>
        </w:rPr>
        <w:t>最後實際</w:t>
      </w:r>
      <w:r>
        <w:rPr>
          <w:rFonts w:ascii="Kinnari" w:eastAsia="Kinnari" w:hAnsi="Kinnari" w:cs="Kinnari"/>
          <w:color w:val="00000A"/>
          <w:sz w:val="24"/>
          <w:szCs w:val="24"/>
        </w:rPr>
        <w:t>執行</w:t>
      </w:r>
      <w:r>
        <w:rPr>
          <w:rFonts w:ascii="新細明體" w:eastAsia="新細明體" w:hAnsi="新細明體" w:cs="新細明體"/>
          <w:color w:val="00000A"/>
          <w:sz w:val="24"/>
          <w:szCs w:val="24"/>
        </w:rPr>
        <w:t>期間</w:t>
      </w:r>
      <w:r>
        <w:rPr>
          <w:rFonts w:ascii="Kinnari" w:eastAsia="Kinnari" w:hAnsi="Kinnari" w:cs="Kinnari"/>
          <w:color w:val="00000A"/>
          <w:sz w:val="24"/>
          <w:szCs w:val="24"/>
        </w:rPr>
        <w:t>所有可能會</w:t>
      </w:r>
      <w:r>
        <w:rPr>
          <w:rFonts w:ascii="新細明體" w:eastAsia="新細明體" w:hAnsi="新細明體" w:cs="新細明體"/>
          <w:color w:val="00000A"/>
          <w:sz w:val="24"/>
          <w:szCs w:val="24"/>
        </w:rPr>
        <w:t>影響、或被影響</w:t>
      </w:r>
      <w:r>
        <w:rPr>
          <w:rFonts w:ascii="Kinnari" w:eastAsia="Kinnari" w:hAnsi="Kinnari" w:cs="Kinnari"/>
          <w:color w:val="00000A"/>
          <w:sz w:val="24"/>
          <w:szCs w:val="24"/>
        </w:rPr>
        <w:t>的</w:t>
      </w:r>
      <w:r>
        <w:rPr>
          <w:rFonts w:ascii="新細明體" w:eastAsia="新細明體" w:hAnsi="新細明體" w:cs="新細明體"/>
          <w:color w:val="00000A"/>
          <w:sz w:val="24"/>
          <w:szCs w:val="24"/>
        </w:rPr>
        <w:t>組織團體，</w:t>
      </w:r>
      <w:r>
        <w:rPr>
          <w:rFonts w:ascii="Kinnari" w:eastAsia="Kinnari" w:hAnsi="Kinnari" w:cs="Kinnari"/>
          <w:color w:val="00000A"/>
          <w:sz w:val="24"/>
          <w:szCs w:val="24"/>
        </w:rPr>
        <w:t>包含物種專家、保育從事人員、政府部門、NGO</w:t>
      </w:r>
      <w:r>
        <w:rPr>
          <w:rFonts w:ascii="新細明體" w:eastAsia="新細明體" w:hAnsi="新細明體" w:cs="新細明體"/>
          <w:color w:val="00000A"/>
          <w:sz w:val="24"/>
          <w:szCs w:val="24"/>
        </w:rPr>
        <w:t>、社區居民代表、地主等，都儘可能的</w:t>
      </w:r>
      <w:r w:rsidR="00C216BE">
        <w:rPr>
          <w:rFonts w:ascii="新細明體" w:eastAsia="新細明體" w:hAnsi="新細明體" w:cs="新細明體"/>
          <w:color w:val="00000A"/>
          <w:sz w:val="24"/>
          <w:szCs w:val="24"/>
        </w:rPr>
        <w:t>邀請</w:t>
      </w:r>
      <w:r>
        <w:rPr>
          <w:rFonts w:ascii="新細明體" w:eastAsia="新細明體" w:hAnsi="新細明體" w:cs="新細明體"/>
          <w:color w:val="00000A"/>
          <w:sz w:val="24"/>
          <w:szCs w:val="24"/>
        </w:rPr>
        <w:t>參與討論，</w:t>
      </w:r>
      <w:r w:rsidR="00C216BE">
        <w:rPr>
          <w:rFonts w:ascii="新細明體" w:eastAsia="新細明體" w:hAnsi="新細明體" w:cs="新細明體"/>
          <w:color w:val="00000A"/>
          <w:sz w:val="24"/>
          <w:szCs w:val="24"/>
        </w:rPr>
        <w:t>才能</w:t>
      </w:r>
      <w:r>
        <w:rPr>
          <w:rFonts w:ascii="新細明體" w:eastAsia="新細明體" w:hAnsi="新細明體" w:cs="新細明體"/>
          <w:color w:val="00000A"/>
          <w:sz w:val="24"/>
          <w:szCs w:val="24"/>
        </w:rPr>
        <w:t>集結</w:t>
      </w:r>
      <w:r w:rsidR="00C216BE">
        <w:rPr>
          <w:rFonts w:ascii="新細明體" w:eastAsia="新細明體" w:hAnsi="新細明體" w:cs="新細明體"/>
          <w:color w:val="00000A"/>
          <w:sz w:val="24"/>
          <w:szCs w:val="24"/>
        </w:rPr>
        <w:t>出</w:t>
      </w:r>
      <w:r w:rsidR="00C216BE">
        <w:rPr>
          <w:rFonts w:ascii="新細明體" w:eastAsia="新細明體" w:hAnsi="新細明體" w:cs="新細明體" w:hint="eastAsia"/>
          <w:color w:val="00000A"/>
          <w:sz w:val="24"/>
          <w:szCs w:val="24"/>
        </w:rPr>
        <w:t>有行動力的</w:t>
      </w:r>
      <w:r>
        <w:rPr>
          <w:rFonts w:ascii="新細明體" w:eastAsia="新細明體" w:hAnsi="新細明體" w:cs="新細明體"/>
          <w:color w:val="00000A"/>
          <w:sz w:val="24"/>
          <w:szCs w:val="24"/>
        </w:rPr>
        <w:t>共識。(IUCN SCS v1.0, Multi stakeholder approach)</w:t>
      </w:r>
    </w:p>
    <w:p w14:paraId="0BDDED8E" w14:textId="77777777" w:rsidR="002A1C85" w:rsidRDefault="002A1C85">
      <w:pPr>
        <w:pStyle w:val="10"/>
        <w:widowControl w:val="0"/>
        <w:spacing w:line="360" w:lineRule="auto"/>
        <w:jc w:val="both"/>
        <w:rPr>
          <w:rFonts w:ascii="Kinnari" w:eastAsia="Kinnari" w:hAnsi="Kinnari" w:cs="Kinnari"/>
          <w:color w:val="00000A"/>
          <w:sz w:val="24"/>
          <w:szCs w:val="24"/>
        </w:rPr>
      </w:pPr>
    </w:p>
    <w:p w14:paraId="5BEF0B4B"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&lt;總結&gt;</w:t>
      </w:r>
    </w:p>
    <w:p w14:paraId="7C912A9D"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lastRenderedPageBreak/>
        <w:t>保育優先順序，一直以來都是規劃保育行動</w:t>
      </w:r>
      <w:r w:rsidR="002352AC">
        <w:rPr>
          <w:rFonts w:ascii="Kinnari" w:hAnsi="Kinnari" w:cs="Kinnari" w:hint="eastAsia"/>
          <w:color w:val="00000A"/>
          <w:sz w:val="24"/>
          <w:szCs w:val="24"/>
        </w:rPr>
        <w:t>前</w:t>
      </w:r>
      <w:r>
        <w:rPr>
          <w:rFonts w:ascii="Kinnari" w:eastAsia="Kinnari" w:hAnsi="Kinnari" w:cs="Kinnari"/>
          <w:color w:val="00000A"/>
          <w:sz w:val="24"/>
          <w:szCs w:val="24"/>
        </w:rPr>
        <w:t>必須釐清，但</w:t>
      </w:r>
      <w:r w:rsidR="002352AC">
        <w:rPr>
          <w:rFonts w:ascii="Kinnari" w:eastAsia="Kinnari" w:hAnsi="Kinnari" w:cs="Kinnari"/>
          <w:color w:val="00000A"/>
          <w:sz w:val="24"/>
          <w:szCs w:val="24"/>
        </w:rPr>
        <w:t>又</w:t>
      </w:r>
      <w:r>
        <w:rPr>
          <w:rFonts w:ascii="Kinnari" w:eastAsia="Kinnari" w:hAnsi="Kinnari" w:cs="Kinnari"/>
          <w:color w:val="00000A"/>
          <w:sz w:val="24"/>
          <w:szCs w:val="24"/>
        </w:rPr>
        <w:t>難以決定的事。要客觀地說服他人</w:t>
      </w:r>
      <w:r>
        <w:rPr>
          <w:rFonts w:ascii="新細明體" w:eastAsia="新細明體" w:hAnsi="新細明體" w:cs="新細明體"/>
          <w:color w:val="00000A"/>
          <w:sz w:val="24"/>
          <w:szCs w:val="24"/>
        </w:rPr>
        <w:t>應該</w:t>
      </w:r>
      <w:r>
        <w:rPr>
          <w:rFonts w:ascii="Kinnari" w:eastAsia="Kinnari" w:hAnsi="Kinnari" w:cs="Kinnari"/>
          <w:color w:val="00000A"/>
          <w:sz w:val="24"/>
          <w:szCs w:val="24"/>
        </w:rPr>
        <w:t>優先保育某種鳥，而不是某種青蛙，或某種樹，是極為困難的。</w:t>
      </w:r>
      <w:r w:rsidR="002352AC">
        <w:rPr>
          <w:rFonts w:ascii="Kinnari" w:eastAsia="Kinnari" w:hAnsi="Kinnari" w:cs="Kinnari"/>
          <w:color w:val="00000A"/>
          <w:sz w:val="24"/>
          <w:szCs w:val="24"/>
        </w:rPr>
        <w:t>因此</w:t>
      </w:r>
      <w:r>
        <w:rPr>
          <w:rFonts w:ascii="Kinnari" w:eastAsia="Kinnari" w:hAnsi="Kinnari" w:cs="Kinnari"/>
          <w:color w:val="00000A"/>
          <w:sz w:val="24"/>
          <w:szCs w:val="24"/>
        </w:rPr>
        <w:t>建構一套完善的排序方法，可以協助我們說服大眾</w:t>
      </w:r>
      <w:r w:rsidR="002352AC">
        <w:rPr>
          <w:rFonts w:ascii="Kinnari" w:eastAsia="Kinnari" w:hAnsi="Kinnari" w:cs="Kinnari"/>
          <w:color w:val="00000A"/>
          <w:sz w:val="24"/>
          <w:szCs w:val="24"/>
        </w:rPr>
        <w:t>與專家</w:t>
      </w:r>
      <w:r>
        <w:rPr>
          <w:rFonts w:ascii="Kinnari" w:eastAsia="Kinnari" w:hAnsi="Kinnari" w:cs="Kinnari"/>
          <w:color w:val="00000A"/>
          <w:sz w:val="24"/>
          <w:szCs w:val="24"/>
        </w:rPr>
        <w:t>，</w:t>
      </w:r>
      <w:r w:rsidR="002352AC">
        <w:rPr>
          <w:rFonts w:ascii="Kinnari" w:eastAsia="Kinnari" w:hAnsi="Kinnari" w:cs="Kinnari"/>
          <w:color w:val="00000A"/>
          <w:sz w:val="24"/>
          <w:szCs w:val="24"/>
        </w:rPr>
        <w:t>如何分配</w:t>
      </w:r>
      <w:r>
        <w:rPr>
          <w:rFonts w:ascii="Kinnari" w:eastAsia="Kinnari" w:hAnsi="Kinnari" w:cs="Kinnari"/>
          <w:color w:val="00000A"/>
          <w:sz w:val="24"/>
          <w:szCs w:val="24"/>
        </w:rPr>
        <w:t>有限的經費</w:t>
      </w:r>
      <w:r w:rsidR="002352AC">
        <w:rPr>
          <w:rFonts w:ascii="Kinnari" w:eastAsia="Kinnari" w:hAnsi="Kinnari" w:cs="Kinnari"/>
          <w:color w:val="00000A"/>
          <w:sz w:val="24"/>
          <w:szCs w:val="24"/>
        </w:rPr>
        <w:t>在</w:t>
      </w:r>
      <w:r>
        <w:rPr>
          <w:rFonts w:ascii="Kinnari" w:eastAsia="Kinnari" w:hAnsi="Kinnari" w:cs="Kinnari"/>
          <w:color w:val="00000A"/>
          <w:sz w:val="24"/>
          <w:szCs w:val="24"/>
        </w:rPr>
        <w:t>最有機會挽救回來的瀕危物種。再按照保育優先順序的結果，進行下一步的行動規劃。最後實際採取行動。</w:t>
      </w:r>
    </w:p>
    <w:p w14:paraId="681CB83A" w14:textId="77777777" w:rsidR="002A1C85" w:rsidRDefault="002A1C85">
      <w:pPr>
        <w:pStyle w:val="10"/>
        <w:widowControl w:val="0"/>
        <w:spacing w:line="360" w:lineRule="auto"/>
        <w:jc w:val="both"/>
        <w:rPr>
          <w:rFonts w:ascii="Kinnari" w:eastAsia="Kinnari" w:hAnsi="Kinnari" w:cs="Kinnari"/>
          <w:color w:val="00000A"/>
          <w:sz w:val="24"/>
          <w:szCs w:val="24"/>
        </w:rPr>
      </w:pPr>
    </w:p>
    <w:p w14:paraId="30D47831"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bookmarkStart w:id="59" w:name="_9lx56qpempf" w:colFirst="0" w:colLast="0"/>
      <w:bookmarkEnd w:id="59"/>
      <w:commentRangeStart w:id="60"/>
      <w:r>
        <w:rPr>
          <w:rFonts w:ascii="Kinnari" w:eastAsia="Kinnari" w:hAnsi="Kinnari" w:cs="Kinnari"/>
          <w:color w:val="00000A"/>
          <w:sz w:val="24"/>
          <w:szCs w:val="24"/>
        </w:rPr>
        <w:t>若要成功的保育起受脅物種，仔細的規劃是重要的，但真正能夠造成改變的只有行動</w:t>
      </w:r>
      <w:r>
        <w:rPr>
          <w:rFonts w:ascii="新細明體" w:eastAsia="新細明體" w:hAnsi="新細明體" w:cs="新細明體"/>
          <w:color w:val="00000A"/>
          <w:sz w:val="24"/>
          <w:szCs w:val="24"/>
        </w:rPr>
        <w:t>。</w:t>
      </w:r>
      <w:r>
        <w:rPr>
          <w:rFonts w:ascii="Kinnari" w:eastAsia="Kinnari" w:hAnsi="Kinnari" w:cs="Kinnari"/>
          <w:color w:val="00000A"/>
          <w:sz w:val="24"/>
          <w:szCs w:val="24"/>
        </w:rPr>
        <w:t>而決定一項行動成功的關鍵，完全都在行動前的準備，一旦開始行動了，通常就大事底定了</w:t>
      </w:r>
      <w:r>
        <w:rPr>
          <w:rFonts w:ascii="新細明體" w:eastAsia="新細明體" w:hAnsi="新細明體" w:cs="新細明體"/>
          <w:color w:val="00000A"/>
          <w:sz w:val="24"/>
          <w:szCs w:val="24"/>
        </w:rPr>
        <w:t>。</w:t>
      </w:r>
      <w:commentRangeEnd w:id="60"/>
      <w:r w:rsidR="00E67CC8">
        <w:rPr>
          <w:rStyle w:val="ad"/>
        </w:rPr>
        <w:commentReference w:id="60"/>
      </w:r>
    </w:p>
    <w:p w14:paraId="6213B196"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bookmarkStart w:id="61" w:name="_nig4vx7udmgx" w:colFirst="0" w:colLast="0"/>
      <w:bookmarkEnd w:id="61"/>
    </w:p>
    <w:p w14:paraId="2890B3C4"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bookmarkStart w:id="62" w:name="_3nbtekxwcro" w:colFirst="0" w:colLast="0"/>
      <w:bookmarkEnd w:id="62"/>
      <w:r>
        <w:rPr>
          <w:rFonts w:ascii="新細明體" w:eastAsia="新細明體" w:hAnsi="新細明體" w:cs="新細明體"/>
          <w:color w:val="00000A"/>
          <w:sz w:val="24"/>
          <w:szCs w:val="24"/>
        </w:rPr>
        <w:t>References</w:t>
      </w:r>
    </w:p>
    <w:p w14:paraId="524D2BBC"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bookmarkStart w:id="63" w:name="_cwlvrwytn9un" w:colFirst="0" w:colLast="0"/>
      <w:bookmarkEnd w:id="63"/>
    </w:p>
    <w:p w14:paraId="7593BAB6"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bookmarkStart w:id="64" w:name="_vmauxklvmrib" w:colFirst="0" w:colLast="0"/>
      <w:bookmarkEnd w:id="64"/>
      <w:r>
        <w:rPr>
          <w:rFonts w:ascii="新細明體" w:eastAsia="新細明體" w:hAnsi="新細明體" w:cs="新細明體"/>
          <w:color w:val="00000A"/>
          <w:sz w:val="16"/>
          <w:szCs w:val="16"/>
          <w:vertAlign w:val="superscript"/>
        </w:rPr>
        <w:t xml:space="preserve">1–19 </w:t>
      </w:r>
      <w:r>
        <w:rPr>
          <w:rFonts w:ascii="新細明體" w:eastAsia="新細明體" w:hAnsi="新細明體" w:cs="新細明體"/>
          <w:color w:val="00000A"/>
          <w:sz w:val="16"/>
          <w:szCs w:val="16"/>
        </w:rPr>
        <w:t>Bibliography</w:t>
      </w:r>
    </w:p>
    <w:p w14:paraId="3F6EDC24"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Arponen</w:t>
      </w:r>
      <w:r>
        <w:rPr>
          <w:rFonts w:ascii="Times New Roman" w:eastAsia="Times New Roman" w:hAnsi="Times New Roman" w:cs="Times New Roman"/>
          <w:color w:val="00000A"/>
          <w:sz w:val="16"/>
          <w:szCs w:val="16"/>
        </w:rPr>
        <w:t xml:space="preserve"> A. Prioritizing species for conservation planning. </w:t>
      </w:r>
      <w:r>
        <w:rPr>
          <w:rFonts w:ascii="Times New Roman" w:eastAsia="Times New Roman" w:hAnsi="Times New Roman" w:cs="Times New Roman"/>
          <w:i/>
          <w:color w:val="00000A"/>
          <w:sz w:val="16"/>
          <w:szCs w:val="16"/>
        </w:rPr>
        <w:t>Biodivers Conserv</w:t>
      </w:r>
      <w:r>
        <w:rPr>
          <w:rFonts w:ascii="Times New Roman" w:eastAsia="Times New Roman" w:hAnsi="Times New Roman" w:cs="Times New Roman"/>
          <w:color w:val="00000A"/>
          <w:sz w:val="16"/>
          <w:szCs w:val="16"/>
        </w:rPr>
        <w:t>. 2012;21(4):875-893. doi:10.1007/s10531-012-0242-1.</w:t>
      </w:r>
    </w:p>
    <w:p w14:paraId="1B002D05"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2.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Carson</w:t>
      </w:r>
      <w:r>
        <w:rPr>
          <w:rFonts w:ascii="Times New Roman" w:eastAsia="Times New Roman" w:hAnsi="Times New Roman" w:cs="Times New Roman"/>
          <w:color w:val="00000A"/>
          <w:sz w:val="16"/>
          <w:szCs w:val="16"/>
        </w:rPr>
        <w:t xml:space="preserve"> RT. Contingent Valuation:  A User’s Guide †. </w:t>
      </w:r>
      <w:r>
        <w:rPr>
          <w:rFonts w:ascii="Times New Roman" w:eastAsia="Times New Roman" w:hAnsi="Times New Roman" w:cs="Times New Roman"/>
          <w:i/>
          <w:color w:val="00000A"/>
          <w:sz w:val="16"/>
          <w:szCs w:val="16"/>
        </w:rPr>
        <w:t>Environ Sci Technol</w:t>
      </w:r>
      <w:r>
        <w:rPr>
          <w:rFonts w:ascii="Times New Roman" w:eastAsia="Times New Roman" w:hAnsi="Times New Roman" w:cs="Times New Roman"/>
          <w:color w:val="00000A"/>
          <w:sz w:val="16"/>
          <w:szCs w:val="16"/>
        </w:rPr>
        <w:t>. 2000;34(8):1413-1418. doi:10.1021/es990728j.</w:t>
      </w:r>
    </w:p>
    <w:p w14:paraId="70CBC76B"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3.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Fishburn</w:t>
      </w:r>
      <w:r>
        <w:rPr>
          <w:rFonts w:ascii="Times New Roman" w:eastAsia="Times New Roman" w:hAnsi="Times New Roman" w:cs="Times New Roman"/>
          <w:color w:val="00000A"/>
          <w:sz w:val="16"/>
          <w:szCs w:val="16"/>
        </w:rPr>
        <w:t xml:space="preserve"> PC. Utility Theory for Decision Making. </w:t>
      </w:r>
      <w:r>
        <w:rPr>
          <w:rFonts w:ascii="Times New Roman" w:eastAsia="Times New Roman" w:hAnsi="Times New Roman" w:cs="Times New Roman"/>
          <w:i/>
          <w:color w:val="00000A"/>
          <w:sz w:val="16"/>
          <w:szCs w:val="16"/>
        </w:rPr>
        <w:t>Res Anal Corp</w:t>
      </w:r>
      <w:r>
        <w:rPr>
          <w:rFonts w:ascii="Times New Roman" w:eastAsia="Times New Roman" w:hAnsi="Times New Roman" w:cs="Times New Roman"/>
          <w:color w:val="00000A"/>
          <w:sz w:val="16"/>
          <w:szCs w:val="16"/>
        </w:rPr>
        <w:t>. 1970:1-246. doi:10.1016/j.obhdp.2009.02.003.</w:t>
      </w:r>
    </w:p>
    <w:p w14:paraId="54AE5353"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4.   </w:t>
      </w:r>
      <w:r>
        <w:rPr>
          <w:rFonts w:ascii="Times New Roman" w:eastAsia="Times New Roman" w:hAnsi="Times New Roman" w:cs="Times New Roman"/>
          <w:color w:val="00000A"/>
          <w:sz w:val="16"/>
          <w:szCs w:val="16"/>
        </w:rPr>
        <w:tab/>
        <w:t>Fraser DF, Cannings SG, Paige K, Nelson K, Harcombe AP. Risk Listing and Setting Conservation Priorities for Species in British Columbia — A Review of Current Practices.</w:t>
      </w:r>
    </w:p>
    <w:p w14:paraId="3EBF6FF1"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5.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Game</w:t>
      </w:r>
      <w:r>
        <w:rPr>
          <w:rFonts w:ascii="Times New Roman" w:eastAsia="Times New Roman" w:hAnsi="Times New Roman" w:cs="Times New Roman"/>
          <w:color w:val="00000A"/>
          <w:sz w:val="16"/>
          <w:szCs w:val="16"/>
        </w:rPr>
        <w:t xml:space="preserve"> ET, Kareiva P, Possingham HP. Six Common Mistakes in Conservation Priority Setting. </w:t>
      </w:r>
      <w:r>
        <w:rPr>
          <w:rFonts w:ascii="Times New Roman" w:eastAsia="Times New Roman" w:hAnsi="Times New Roman" w:cs="Times New Roman"/>
          <w:i/>
          <w:color w:val="00000A"/>
          <w:sz w:val="16"/>
          <w:szCs w:val="16"/>
        </w:rPr>
        <w:t>Conserv Biol</w:t>
      </w:r>
      <w:r>
        <w:rPr>
          <w:rFonts w:ascii="Times New Roman" w:eastAsia="Times New Roman" w:hAnsi="Times New Roman" w:cs="Times New Roman"/>
          <w:color w:val="00000A"/>
          <w:sz w:val="16"/>
          <w:szCs w:val="16"/>
        </w:rPr>
        <w:t>. 2013;27(3):480-485. doi:10.1111/cobi.12051.</w:t>
      </w:r>
    </w:p>
    <w:p w14:paraId="513653C1"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6.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IUCN</w:t>
      </w:r>
      <w:r>
        <w:rPr>
          <w:rFonts w:ascii="Times New Roman" w:eastAsia="Times New Roman" w:hAnsi="Times New Roman" w:cs="Times New Roman"/>
          <w:color w:val="00000A"/>
          <w:sz w:val="16"/>
          <w:szCs w:val="16"/>
        </w:rPr>
        <w:t xml:space="preserve">/SSC. </w:t>
      </w:r>
      <w:r>
        <w:rPr>
          <w:rFonts w:ascii="Times New Roman" w:eastAsia="Times New Roman" w:hAnsi="Times New Roman" w:cs="Times New Roman"/>
          <w:i/>
          <w:color w:val="00000A"/>
          <w:sz w:val="16"/>
          <w:szCs w:val="16"/>
        </w:rPr>
        <w:t>Strategic Planning for Species Conservation: A Handbook. Version 1.0</w:t>
      </w:r>
      <w:r>
        <w:rPr>
          <w:rFonts w:ascii="Times New Roman" w:eastAsia="Times New Roman" w:hAnsi="Times New Roman" w:cs="Times New Roman"/>
          <w:color w:val="00000A"/>
          <w:sz w:val="16"/>
          <w:szCs w:val="16"/>
        </w:rPr>
        <w:t>.; 2008.</w:t>
      </w:r>
    </w:p>
    <w:p w14:paraId="2C37FFD6"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7.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Jordán</w:t>
      </w:r>
      <w:r>
        <w:rPr>
          <w:rFonts w:ascii="Times New Roman" w:eastAsia="Times New Roman" w:hAnsi="Times New Roman" w:cs="Times New Roman"/>
          <w:color w:val="00000A"/>
          <w:sz w:val="16"/>
          <w:szCs w:val="16"/>
        </w:rPr>
        <w:t xml:space="preserve"> F, Okey TA, Bauer B, Libralato S. Identifying important species: Linking structure and function in ecological networks. </w:t>
      </w:r>
      <w:r>
        <w:rPr>
          <w:rFonts w:ascii="Times New Roman" w:eastAsia="Times New Roman" w:hAnsi="Times New Roman" w:cs="Times New Roman"/>
          <w:i/>
          <w:color w:val="00000A"/>
          <w:sz w:val="16"/>
          <w:szCs w:val="16"/>
        </w:rPr>
        <w:t>Ecol Modell</w:t>
      </w:r>
      <w:r>
        <w:rPr>
          <w:rFonts w:ascii="Times New Roman" w:eastAsia="Times New Roman" w:hAnsi="Times New Roman" w:cs="Times New Roman"/>
          <w:color w:val="00000A"/>
          <w:sz w:val="16"/>
          <w:szCs w:val="16"/>
        </w:rPr>
        <w:t>. 2008;216(1):75-80. doi:10.1016/j.ecolmodel.2008.04.009.</w:t>
      </w:r>
    </w:p>
    <w:p w14:paraId="7B5E7DB8"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8.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Joseph</w:t>
      </w:r>
      <w:r>
        <w:rPr>
          <w:rFonts w:ascii="Times New Roman" w:eastAsia="Times New Roman" w:hAnsi="Times New Roman" w:cs="Times New Roman"/>
          <w:color w:val="00000A"/>
          <w:sz w:val="16"/>
          <w:szCs w:val="16"/>
        </w:rPr>
        <w:t xml:space="preserve"> LN, Maloney RF, Possingham HP. Asignacíon optima de recursos entre especies amenazadas: Un </w:t>
      </w:r>
      <w:r>
        <w:rPr>
          <w:rFonts w:ascii="Times New Roman" w:eastAsia="Times New Roman" w:hAnsi="Times New Roman" w:cs="Times New Roman"/>
          <w:color w:val="00000A"/>
          <w:sz w:val="16"/>
          <w:szCs w:val="16"/>
        </w:rPr>
        <w:lastRenderedPageBreak/>
        <w:t xml:space="preserve">protocolo de priorizacíon de proyectos. </w:t>
      </w:r>
      <w:r>
        <w:rPr>
          <w:rFonts w:ascii="Times New Roman" w:eastAsia="Times New Roman" w:hAnsi="Times New Roman" w:cs="Times New Roman"/>
          <w:i/>
          <w:color w:val="00000A"/>
          <w:sz w:val="16"/>
          <w:szCs w:val="16"/>
        </w:rPr>
        <w:t>Conserv Biol</w:t>
      </w:r>
      <w:r>
        <w:rPr>
          <w:rFonts w:ascii="Times New Roman" w:eastAsia="Times New Roman" w:hAnsi="Times New Roman" w:cs="Times New Roman"/>
          <w:color w:val="00000A"/>
          <w:sz w:val="16"/>
          <w:szCs w:val="16"/>
        </w:rPr>
        <w:t>. 2009;23(2):328-338. doi:10.1111/j.1523-1739.2008.01124.x.</w:t>
      </w:r>
    </w:p>
    <w:p w14:paraId="7309F8E5"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bookmarkStart w:id="65" w:name="_mhqatyronrgc" w:colFirst="0" w:colLast="0"/>
      <w:bookmarkEnd w:id="65"/>
      <w:r>
        <w:rPr>
          <w:rFonts w:ascii="Times New Roman" w:eastAsia="Times New Roman" w:hAnsi="Times New Roman" w:cs="Times New Roman"/>
          <w:color w:val="00000A"/>
          <w:sz w:val="16"/>
          <w:szCs w:val="16"/>
        </w:rPr>
        <w:t xml:space="preserve">9.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Knapp</w:t>
      </w:r>
      <w:r>
        <w:rPr>
          <w:rFonts w:ascii="Times New Roman" w:eastAsia="Times New Roman" w:hAnsi="Times New Roman" w:cs="Times New Roman"/>
          <w:color w:val="00000A"/>
          <w:sz w:val="16"/>
          <w:szCs w:val="16"/>
        </w:rPr>
        <w:t xml:space="preserve"> SM, Russell RE, Swihart RK. Setting priorities for conservation: The influence of uncertainty on species rankings of Indiana mammals. </w:t>
      </w:r>
      <w:r>
        <w:rPr>
          <w:rFonts w:ascii="Times New Roman" w:eastAsia="Times New Roman" w:hAnsi="Times New Roman" w:cs="Times New Roman"/>
          <w:i/>
          <w:color w:val="00000A"/>
          <w:sz w:val="16"/>
          <w:szCs w:val="16"/>
        </w:rPr>
        <w:t>Biol Conserv</w:t>
      </w:r>
      <w:r>
        <w:rPr>
          <w:rFonts w:ascii="Times New Roman" w:eastAsia="Times New Roman" w:hAnsi="Times New Roman" w:cs="Times New Roman"/>
          <w:color w:val="00000A"/>
          <w:sz w:val="16"/>
          <w:szCs w:val="16"/>
        </w:rPr>
        <w:t>. 2003;111(2):223-234. doi:10.1016/S0006-3207(02)00278-1.</w:t>
      </w:r>
    </w:p>
    <w:p w14:paraId="609E6F89"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bookmarkStart w:id="66" w:name="_ome2i3d797h9" w:colFirst="0" w:colLast="0"/>
      <w:bookmarkEnd w:id="66"/>
      <w:r>
        <w:rPr>
          <w:rFonts w:ascii="Times New Roman" w:eastAsia="Times New Roman" w:hAnsi="Times New Roman" w:cs="Times New Roman"/>
          <w:color w:val="00000A"/>
          <w:sz w:val="16"/>
          <w:szCs w:val="16"/>
        </w:rPr>
        <w:t xml:space="preserve">10.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Perry</w:t>
      </w:r>
      <w:r>
        <w:rPr>
          <w:rFonts w:ascii="Times New Roman" w:eastAsia="Times New Roman" w:hAnsi="Times New Roman" w:cs="Times New Roman"/>
          <w:color w:val="00000A"/>
          <w:sz w:val="16"/>
          <w:szCs w:val="16"/>
        </w:rPr>
        <w:t xml:space="preserve"> N. The ecological importance of species and the Noah’s Ark problem. </w:t>
      </w:r>
      <w:r>
        <w:rPr>
          <w:rFonts w:ascii="Times New Roman" w:eastAsia="Times New Roman" w:hAnsi="Times New Roman" w:cs="Times New Roman"/>
          <w:i/>
          <w:color w:val="00000A"/>
          <w:sz w:val="16"/>
          <w:szCs w:val="16"/>
        </w:rPr>
        <w:t>Ecol Econ</w:t>
      </w:r>
      <w:r>
        <w:rPr>
          <w:rFonts w:ascii="Times New Roman" w:eastAsia="Times New Roman" w:hAnsi="Times New Roman" w:cs="Times New Roman"/>
          <w:color w:val="00000A"/>
          <w:sz w:val="16"/>
          <w:szCs w:val="16"/>
        </w:rPr>
        <w:t>. 2010;69(3):478-485. doi:10.1016/j.ecolecon.2009.09.016.</w:t>
      </w:r>
    </w:p>
    <w:p w14:paraId="3929CED6"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11.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Pimm</w:t>
      </w:r>
      <w:r>
        <w:rPr>
          <w:rFonts w:ascii="Times New Roman" w:eastAsia="Times New Roman" w:hAnsi="Times New Roman" w:cs="Times New Roman"/>
          <w:color w:val="00000A"/>
          <w:sz w:val="16"/>
          <w:szCs w:val="16"/>
        </w:rPr>
        <w:t xml:space="preserve"> SL, Russell GJ, Gittleman JL, Brooks TM. The Future of Biodiversity. </w:t>
      </w:r>
      <w:r>
        <w:rPr>
          <w:rFonts w:ascii="Times New Roman" w:eastAsia="Times New Roman" w:hAnsi="Times New Roman" w:cs="Times New Roman"/>
          <w:i/>
          <w:color w:val="00000A"/>
          <w:sz w:val="16"/>
          <w:szCs w:val="16"/>
        </w:rPr>
        <w:t>Science (80- )</w:t>
      </w:r>
      <w:r>
        <w:rPr>
          <w:rFonts w:ascii="Times New Roman" w:eastAsia="Times New Roman" w:hAnsi="Times New Roman" w:cs="Times New Roman"/>
          <w:color w:val="00000A"/>
          <w:sz w:val="16"/>
          <w:szCs w:val="16"/>
        </w:rPr>
        <w:t>. 1995;269(5222):347-350. doi:10.1126/science.269.5222.347.</w:t>
      </w:r>
    </w:p>
    <w:p w14:paraId="13F0A915"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bookmarkStart w:id="67" w:name="_t8x7wu1cmwq9" w:colFirst="0" w:colLast="0"/>
      <w:bookmarkEnd w:id="67"/>
      <w:r>
        <w:rPr>
          <w:rFonts w:ascii="Times New Roman" w:eastAsia="Times New Roman" w:hAnsi="Times New Roman" w:cs="Times New Roman"/>
          <w:color w:val="00000A"/>
          <w:sz w:val="16"/>
          <w:szCs w:val="16"/>
        </w:rPr>
        <w:t xml:space="preserve">12.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Rodrigues</w:t>
      </w:r>
      <w:r>
        <w:rPr>
          <w:rFonts w:ascii="Times New Roman" w:eastAsia="Times New Roman" w:hAnsi="Times New Roman" w:cs="Times New Roman"/>
          <w:color w:val="00000A"/>
          <w:sz w:val="16"/>
          <w:szCs w:val="16"/>
        </w:rPr>
        <w:t xml:space="preserve"> ASL, Brooks TM. Shortcuts for Biodiversity Conservation Planning: The Effectiveness of Surrogates. </w:t>
      </w:r>
      <w:r>
        <w:rPr>
          <w:rFonts w:ascii="Times New Roman" w:eastAsia="Times New Roman" w:hAnsi="Times New Roman" w:cs="Times New Roman"/>
          <w:i/>
          <w:color w:val="00000A"/>
          <w:sz w:val="16"/>
          <w:szCs w:val="16"/>
        </w:rPr>
        <w:t>Annu Rev Ecol Evol Syst</w:t>
      </w:r>
      <w:r>
        <w:rPr>
          <w:rFonts w:ascii="Times New Roman" w:eastAsia="Times New Roman" w:hAnsi="Times New Roman" w:cs="Times New Roman"/>
          <w:color w:val="00000A"/>
          <w:sz w:val="16"/>
          <w:szCs w:val="16"/>
        </w:rPr>
        <w:t>. 2007;38(1):713-737. doi:10.1146/annurev.ecolsys.38.091206.095737.</w:t>
      </w:r>
    </w:p>
    <w:p w14:paraId="12934D18"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13.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Vane-Wright</w:t>
      </w:r>
      <w:r>
        <w:rPr>
          <w:rFonts w:ascii="Times New Roman" w:eastAsia="Times New Roman" w:hAnsi="Times New Roman" w:cs="Times New Roman"/>
          <w:color w:val="00000A"/>
          <w:sz w:val="16"/>
          <w:szCs w:val="16"/>
        </w:rPr>
        <w:t xml:space="preserve"> RI, Humphries CJ, Williams PH. What to protect? - Systematics and the agony of choice. </w:t>
      </w:r>
      <w:r>
        <w:rPr>
          <w:rFonts w:ascii="Times New Roman" w:eastAsia="Times New Roman" w:hAnsi="Times New Roman" w:cs="Times New Roman"/>
          <w:i/>
          <w:color w:val="00000A"/>
          <w:sz w:val="16"/>
          <w:szCs w:val="16"/>
        </w:rPr>
        <w:t>Biol Conserv</w:t>
      </w:r>
      <w:r>
        <w:rPr>
          <w:rFonts w:ascii="Times New Roman" w:eastAsia="Times New Roman" w:hAnsi="Times New Roman" w:cs="Times New Roman"/>
          <w:color w:val="00000A"/>
          <w:sz w:val="16"/>
          <w:szCs w:val="16"/>
        </w:rPr>
        <w:t>. 1991;55(3):235-254. doi:10.1016/0006-3207(91)90030-D.</w:t>
      </w:r>
    </w:p>
    <w:p w14:paraId="3801499E"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14.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Vincenot</w:t>
      </w:r>
      <w:r>
        <w:rPr>
          <w:rFonts w:ascii="Times New Roman" w:eastAsia="Times New Roman" w:hAnsi="Times New Roman" w:cs="Times New Roman"/>
          <w:color w:val="00000A"/>
          <w:sz w:val="16"/>
          <w:szCs w:val="16"/>
        </w:rPr>
        <w:t xml:space="preserve"> CE, Collazo AM, Wallmo K, Koyama L. Public awareness and perceptual factors in the conservation of elusive species: The case of the endangered Ryukyu flying fox. </w:t>
      </w:r>
      <w:r>
        <w:rPr>
          <w:rFonts w:ascii="Times New Roman" w:eastAsia="Times New Roman" w:hAnsi="Times New Roman" w:cs="Times New Roman"/>
          <w:i/>
          <w:color w:val="00000A"/>
          <w:sz w:val="16"/>
          <w:szCs w:val="16"/>
        </w:rPr>
        <w:t>Glob Ecol Conserv</w:t>
      </w:r>
      <w:r>
        <w:rPr>
          <w:rFonts w:ascii="Times New Roman" w:eastAsia="Times New Roman" w:hAnsi="Times New Roman" w:cs="Times New Roman"/>
          <w:color w:val="00000A"/>
          <w:sz w:val="16"/>
          <w:szCs w:val="16"/>
        </w:rPr>
        <w:t>. 2015;3:526-540. doi:10.1016/j.gecco.2015.02.005.</w:t>
      </w:r>
    </w:p>
    <w:p w14:paraId="2471F935"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15.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Wallace</w:t>
      </w:r>
      <w:r>
        <w:rPr>
          <w:rFonts w:ascii="Times New Roman" w:eastAsia="Times New Roman" w:hAnsi="Times New Roman" w:cs="Times New Roman"/>
          <w:color w:val="00000A"/>
          <w:sz w:val="16"/>
          <w:szCs w:val="16"/>
        </w:rPr>
        <w:t xml:space="preserve"> BP, DiMatteo AD, Bolten AB, et al. Global conservation priorities for Marine turtles. </w:t>
      </w:r>
      <w:r>
        <w:rPr>
          <w:rFonts w:ascii="Times New Roman" w:eastAsia="Times New Roman" w:hAnsi="Times New Roman" w:cs="Times New Roman"/>
          <w:i/>
          <w:color w:val="00000A"/>
          <w:sz w:val="16"/>
          <w:szCs w:val="16"/>
        </w:rPr>
        <w:t>PLoS One</w:t>
      </w:r>
      <w:r>
        <w:rPr>
          <w:rFonts w:ascii="Times New Roman" w:eastAsia="Times New Roman" w:hAnsi="Times New Roman" w:cs="Times New Roman"/>
          <w:color w:val="00000A"/>
          <w:sz w:val="16"/>
          <w:szCs w:val="16"/>
        </w:rPr>
        <w:t>. 2011;6(9). doi:10.1371/journal.pone.0024510.</w:t>
      </w:r>
    </w:p>
    <w:p w14:paraId="437232AE"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16.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Waters</w:t>
      </w:r>
      <w:r>
        <w:rPr>
          <w:rFonts w:ascii="Times New Roman" w:eastAsia="Times New Roman" w:hAnsi="Times New Roman" w:cs="Times New Roman"/>
          <w:color w:val="00000A"/>
          <w:sz w:val="16"/>
          <w:szCs w:val="16"/>
        </w:rPr>
        <w:t xml:space="preserve"> CN, Zalasiewicz J, Summerhayes C, et al. The Anthropocene is functionally and stratigraphically distinct from the Holocene. </w:t>
      </w:r>
      <w:r>
        <w:rPr>
          <w:rFonts w:ascii="Times New Roman" w:eastAsia="Times New Roman" w:hAnsi="Times New Roman" w:cs="Times New Roman"/>
          <w:i/>
          <w:color w:val="00000A"/>
          <w:sz w:val="16"/>
          <w:szCs w:val="16"/>
        </w:rPr>
        <w:t>Science (80- )</w:t>
      </w:r>
      <w:r>
        <w:rPr>
          <w:rFonts w:ascii="Times New Roman" w:eastAsia="Times New Roman" w:hAnsi="Times New Roman" w:cs="Times New Roman"/>
          <w:color w:val="00000A"/>
          <w:sz w:val="16"/>
          <w:szCs w:val="16"/>
        </w:rPr>
        <w:t>. 2016;351(6269):aad2622-1-aad2622-10. doi:10.1126/science.aad2622.</w:t>
      </w:r>
    </w:p>
    <w:p w14:paraId="0F0F218B"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17.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Weitzman</w:t>
      </w:r>
      <w:r>
        <w:rPr>
          <w:rFonts w:ascii="Times New Roman" w:eastAsia="Times New Roman" w:hAnsi="Times New Roman" w:cs="Times New Roman"/>
          <w:color w:val="00000A"/>
          <w:sz w:val="16"/>
          <w:szCs w:val="16"/>
        </w:rPr>
        <w:t xml:space="preserve"> ML. the Noah’S Ark Problem. </w:t>
      </w:r>
      <w:r>
        <w:rPr>
          <w:rFonts w:ascii="Times New Roman" w:eastAsia="Times New Roman" w:hAnsi="Times New Roman" w:cs="Times New Roman"/>
          <w:i/>
          <w:color w:val="00000A"/>
          <w:sz w:val="16"/>
          <w:szCs w:val="16"/>
        </w:rPr>
        <w:t>Econometrica</w:t>
      </w:r>
      <w:r>
        <w:rPr>
          <w:rFonts w:ascii="Times New Roman" w:eastAsia="Times New Roman" w:hAnsi="Times New Roman" w:cs="Times New Roman"/>
          <w:color w:val="00000A"/>
          <w:sz w:val="16"/>
          <w:szCs w:val="16"/>
        </w:rPr>
        <w:t>. 1998;66(6):1279-1298. doi:10.2307/2999617.</w:t>
      </w:r>
    </w:p>
    <w:p w14:paraId="52868D4A"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r>
        <w:rPr>
          <w:rFonts w:ascii="Times New Roman" w:eastAsia="Times New Roman" w:hAnsi="Times New Roman" w:cs="Times New Roman"/>
          <w:color w:val="00000A"/>
          <w:sz w:val="16"/>
          <w:szCs w:val="16"/>
        </w:rPr>
        <w:t xml:space="preserve">18.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Wiens</w:t>
      </w:r>
      <w:r>
        <w:rPr>
          <w:rFonts w:ascii="Times New Roman" w:eastAsia="Times New Roman" w:hAnsi="Times New Roman" w:cs="Times New Roman"/>
          <w:color w:val="00000A"/>
          <w:sz w:val="16"/>
          <w:szCs w:val="16"/>
        </w:rPr>
        <w:t xml:space="preserve"> J, Hayward GD, Holthausen RS, Wisdom MJ. Using surrogate species and groups for conservation planning and management. </w:t>
      </w:r>
      <w:r>
        <w:rPr>
          <w:rFonts w:ascii="Times New Roman" w:eastAsia="Times New Roman" w:hAnsi="Times New Roman" w:cs="Times New Roman"/>
          <w:i/>
          <w:color w:val="00000A"/>
          <w:sz w:val="16"/>
          <w:szCs w:val="16"/>
        </w:rPr>
        <w:t>Bioscience</w:t>
      </w:r>
      <w:r>
        <w:rPr>
          <w:rFonts w:ascii="Times New Roman" w:eastAsia="Times New Roman" w:hAnsi="Times New Roman" w:cs="Times New Roman"/>
          <w:color w:val="00000A"/>
          <w:sz w:val="16"/>
          <w:szCs w:val="16"/>
        </w:rPr>
        <w:t>. 2008;58(3):241-252. doi:10.1641/b580310.</w:t>
      </w:r>
    </w:p>
    <w:p w14:paraId="0EE727C7" w14:textId="77777777" w:rsidR="002A1C85" w:rsidRDefault="001217C9">
      <w:pPr>
        <w:pStyle w:val="10"/>
        <w:widowControl w:val="0"/>
        <w:spacing w:after="140" w:line="288" w:lineRule="auto"/>
        <w:ind w:left="640"/>
        <w:jc w:val="both"/>
        <w:rPr>
          <w:rFonts w:ascii="Times New Roman" w:eastAsia="Times New Roman" w:hAnsi="Times New Roman" w:cs="Times New Roman"/>
          <w:color w:val="00000A"/>
          <w:sz w:val="16"/>
          <w:szCs w:val="16"/>
        </w:rPr>
      </w:pPr>
      <w:bookmarkStart w:id="68" w:name="_8awl3ar7nlu4" w:colFirst="0" w:colLast="0"/>
      <w:bookmarkEnd w:id="68"/>
      <w:r>
        <w:rPr>
          <w:rFonts w:ascii="Times New Roman" w:eastAsia="Times New Roman" w:hAnsi="Times New Roman" w:cs="Times New Roman"/>
          <w:color w:val="00000A"/>
          <w:sz w:val="16"/>
          <w:szCs w:val="16"/>
        </w:rPr>
        <w:t xml:space="preserve">19. </w:t>
      </w:r>
      <w:r>
        <w:rPr>
          <w:rFonts w:ascii="Times New Roman" w:eastAsia="Times New Roman" w:hAnsi="Times New Roman" w:cs="Times New Roman"/>
          <w:color w:val="00000A"/>
          <w:sz w:val="16"/>
          <w:szCs w:val="16"/>
        </w:rPr>
        <w:tab/>
      </w:r>
      <w:r>
        <w:rPr>
          <w:rFonts w:ascii="Times New Roman" w:eastAsia="Times New Roman" w:hAnsi="Times New Roman" w:cs="Times New Roman"/>
          <w:color w:val="FF0000"/>
          <w:sz w:val="16"/>
          <w:szCs w:val="16"/>
        </w:rPr>
        <w:t>Wilson</w:t>
      </w:r>
      <w:r>
        <w:rPr>
          <w:rFonts w:ascii="Times New Roman" w:eastAsia="Times New Roman" w:hAnsi="Times New Roman" w:cs="Times New Roman"/>
          <w:color w:val="00000A"/>
          <w:sz w:val="16"/>
          <w:szCs w:val="16"/>
        </w:rPr>
        <w:t xml:space="preserve"> KA, Carwardine J, Possingham HP. Setting conservation priorities. </w:t>
      </w:r>
      <w:r>
        <w:rPr>
          <w:rFonts w:ascii="Times New Roman" w:eastAsia="Times New Roman" w:hAnsi="Times New Roman" w:cs="Times New Roman"/>
          <w:i/>
          <w:color w:val="00000A"/>
          <w:sz w:val="16"/>
          <w:szCs w:val="16"/>
        </w:rPr>
        <w:t>Ann N Y Acad Sci</w:t>
      </w:r>
      <w:r>
        <w:rPr>
          <w:rFonts w:ascii="Times New Roman" w:eastAsia="Times New Roman" w:hAnsi="Times New Roman" w:cs="Times New Roman"/>
          <w:color w:val="00000A"/>
          <w:sz w:val="16"/>
          <w:szCs w:val="16"/>
        </w:rPr>
        <w:t>. 2009;1162:237-264. doi:10.1111/j.1749-6632.2009.04149.x.</w:t>
      </w:r>
    </w:p>
    <w:p w14:paraId="54EDB33E" w14:textId="77777777" w:rsidR="002A1C85" w:rsidRDefault="002A1C85">
      <w:pPr>
        <w:pStyle w:val="10"/>
        <w:widowControl w:val="0"/>
        <w:spacing w:after="140" w:line="288" w:lineRule="auto"/>
        <w:ind w:left="640"/>
        <w:jc w:val="both"/>
        <w:rPr>
          <w:rFonts w:ascii="Times New Roman" w:eastAsia="Times New Roman" w:hAnsi="Times New Roman" w:cs="Times New Roman"/>
          <w:color w:val="00000A"/>
          <w:sz w:val="24"/>
          <w:szCs w:val="24"/>
        </w:rPr>
      </w:pPr>
      <w:bookmarkStart w:id="69" w:name="_73fqbpvpfcan" w:colFirst="0" w:colLast="0"/>
      <w:bookmarkEnd w:id="69"/>
    </w:p>
    <w:p w14:paraId="3E0222F9" w14:textId="77777777" w:rsidR="002A1C85" w:rsidRDefault="002A1C85">
      <w:pPr>
        <w:pStyle w:val="10"/>
        <w:widowControl w:val="0"/>
        <w:spacing w:after="140" w:line="288" w:lineRule="auto"/>
        <w:ind w:left="640"/>
        <w:jc w:val="both"/>
        <w:rPr>
          <w:rFonts w:ascii="Times New Roman" w:eastAsia="Times New Roman" w:hAnsi="Times New Roman" w:cs="Times New Roman"/>
          <w:color w:val="00000A"/>
          <w:sz w:val="24"/>
          <w:szCs w:val="24"/>
        </w:rPr>
      </w:pPr>
      <w:bookmarkStart w:id="70" w:name="_5bfz0no3ef6h" w:colFirst="0" w:colLast="0"/>
      <w:bookmarkEnd w:id="70"/>
    </w:p>
    <w:p w14:paraId="73046EF0" w14:textId="77777777" w:rsidR="002A1C85" w:rsidRDefault="002A1C85">
      <w:pPr>
        <w:pStyle w:val="10"/>
        <w:widowControl w:val="0"/>
        <w:spacing w:after="140" w:line="288" w:lineRule="auto"/>
        <w:ind w:left="640"/>
        <w:jc w:val="both"/>
        <w:rPr>
          <w:rFonts w:ascii="Times New Roman" w:eastAsia="Times New Roman" w:hAnsi="Times New Roman" w:cs="Times New Roman"/>
          <w:color w:val="00000A"/>
          <w:sz w:val="24"/>
          <w:szCs w:val="24"/>
        </w:rPr>
      </w:pPr>
      <w:bookmarkStart w:id="71" w:name="_ahvc3akz9rg" w:colFirst="0" w:colLast="0"/>
      <w:bookmarkEnd w:id="71"/>
    </w:p>
    <w:p w14:paraId="0C20EE25" w14:textId="77777777" w:rsidR="002A1C85" w:rsidRDefault="002A1C85">
      <w:pPr>
        <w:pStyle w:val="10"/>
        <w:widowControl w:val="0"/>
        <w:spacing w:line="360" w:lineRule="auto"/>
        <w:jc w:val="both"/>
        <w:rPr>
          <w:rFonts w:ascii="Kinnari" w:eastAsia="Kinnari" w:hAnsi="Kinnari" w:cs="Kinnari"/>
          <w:color w:val="00000A"/>
          <w:sz w:val="24"/>
          <w:szCs w:val="24"/>
        </w:rPr>
      </w:pPr>
    </w:p>
    <w:p w14:paraId="665CA5C8" w14:textId="77777777" w:rsidR="002A1C85" w:rsidRDefault="002A1C85">
      <w:pPr>
        <w:pStyle w:val="10"/>
        <w:widowControl w:val="0"/>
        <w:spacing w:after="140" w:line="288" w:lineRule="auto"/>
        <w:ind w:left="640"/>
        <w:jc w:val="both"/>
        <w:rPr>
          <w:rFonts w:ascii="Times New Roman" w:eastAsia="Times New Roman" w:hAnsi="Times New Roman" w:cs="Times New Roman"/>
          <w:color w:val="00000A"/>
          <w:sz w:val="24"/>
          <w:szCs w:val="24"/>
        </w:rPr>
      </w:pPr>
      <w:bookmarkStart w:id="72" w:name="_9heqekjt4hg0" w:colFirst="0" w:colLast="0"/>
      <w:bookmarkEnd w:id="72"/>
    </w:p>
    <w:sectPr w:rsidR="002A1C85" w:rsidSect="002A1C85">
      <w:pgSz w:w="11906" w:h="16838"/>
      <w:pgMar w:top="1440" w:right="1800" w:bottom="1440" w:left="1800" w:header="0"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17-04-19T17:34:00Z" w:initials="l">
    <w:p w14:paraId="15CE3137" w14:textId="77777777" w:rsidR="00FE1E6E" w:rsidRDefault="00FE1E6E">
      <w:pPr>
        <w:pStyle w:val="ab"/>
      </w:pPr>
      <w:bookmarkStart w:id="1" w:name="_GoBack"/>
      <w:bookmarkEnd w:id="1"/>
      <w:r>
        <w:rPr>
          <w:rStyle w:val="ad"/>
        </w:rPr>
        <w:annotationRef/>
      </w:r>
      <w:r>
        <w:t>有名詞引用的出處，或是需要對名詞再做說明嗎？</w:t>
      </w:r>
    </w:p>
  </w:comment>
  <w:comment w:id="2" w:author="even311379" w:date="2017-04-19T17:34:00Z" w:initials="">
    <w:p w14:paraId="2242D11E" w14:textId="77777777" w:rsidR="00FE1E6E" w:rsidRDefault="00FE1E6E">
      <w:pPr>
        <w:pStyle w:val="10"/>
        <w:widowControl w:val="0"/>
        <w:spacing w:line="240" w:lineRule="auto"/>
      </w:pPr>
      <w:r>
        <w:rPr>
          <w:rFonts w:ascii="Arial Unicode MS" w:eastAsia="Arial Unicode MS" w:hAnsi="Arial Unicode MS" w:cs="Arial Unicode MS"/>
        </w:rPr>
        <w:t>這句這樣表達太口語了</w:t>
      </w:r>
    </w:p>
  </w:comment>
  <w:comment w:id="3" w:author="even311379" w:date="2017-04-19T17:34:00Z" w:initials="">
    <w:p w14:paraId="785D1FF8" w14:textId="77777777" w:rsidR="00FE1E6E" w:rsidRDefault="00FE1E6E">
      <w:pPr>
        <w:pStyle w:val="10"/>
        <w:widowControl w:val="0"/>
        <w:spacing w:line="240" w:lineRule="auto"/>
      </w:pPr>
      <w:r>
        <w:rPr>
          <w:rFonts w:ascii="Arial Unicode MS" w:eastAsia="Arial Unicode MS" w:hAnsi="Arial Unicode MS" w:cs="Arial Unicode MS"/>
        </w:rPr>
        <w:t>這不會需要建立不同的數學模型來解開</w:t>
      </w:r>
      <w:r>
        <w:rPr>
          <w:rFonts w:ascii="Arial Unicode MS" w:eastAsia="Arial Unicode MS" w:hAnsi="Arial Unicode MS" w:cs="Arial Unicode MS" w:hint="eastAsia"/>
        </w:rPr>
        <w:t xml:space="preserve"> </w:t>
      </w:r>
      <w:r>
        <w:rPr>
          <w:rFonts w:ascii="Arial Unicode MS" w:eastAsia="Arial Unicode MS" w:hAnsi="Arial Unicode MS" w:cs="Arial Unicode MS"/>
        </w:rPr>
        <w:br/>
      </w:r>
      <w:r w:rsidRPr="00B024CC">
        <w:rPr>
          <w:rFonts w:ascii="Arial Unicode MS" w:eastAsia="Arial Unicode MS" w:hAnsi="Arial Unicode MS" w:cs="Arial Unicode MS" w:hint="eastAsia"/>
          <w:b/>
        </w:rPr>
        <w:t>Reply：如果不是數學模型，那所謂不同方法是指?? 我只是想說明所謂不同方法的部分</w:t>
      </w:r>
    </w:p>
  </w:comment>
  <w:comment w:id="6" w:author="even311379" w:date="2017-04-19T17:34:00Z" w:initials="">
    <w:p w14:paraId="27A07684" w14:textId="77777777" w:rsidR="00FE1E6E" w:rsidRDefault="00FE1E6E">
      <w:pPr>
        <w:pStyle w:val="10"/>
        <w:widowControl w:val="0"/>
        <w:spacing w:line="240" w:lineRule="auto"/>
      </w:pPr>
      <w:r>
        <w:rPr>
          <w:rFonts w:ascii="Arial Unicode MS" w:eastAsia="Arial Unicode MS" w:hAnsi="Arial Unicode MS" w:cs="Arial Unicode MS"/>
        </w:rPr>
        <w:t>公式的表達方式會再統一調整，看要怎樣比較好</w:t>
      </w:r>
    </w:p>
  </w:comment>
  <w:comment w:id="7" w:author="even311379" w:date="2017-04-19T17:34:00Z" w:initials="">
    <w:p w14:paraId="51EF5E86" w14:textId="77777777" w:rsidR="00FE1E6E" w:rsidRDefault="00FE1E6E">
      <w:pPr>
        <w:pStyle w:val="10"/>
        <w:widowControl w:val="0"/>
        <w:spacing w:line="240" w:lineRule="auto"/>
      </w:pPr>
      <w:r>
        <w:t>建議還是要有一個合適的中文翻譯可以對照比較好</w:t>
      </w:r>
      <w:r>
        <w:rPr>
          <w:rFonts w:hint="eastAsia"/>
        </w:rPr>
        <w:t>(</w:t>
      </w:r>
      <w:r>
        <w:rPr>
          <w:rFonts w:hint="eastAsia"/>
        </w:rPr>
        <w:t>對於科普文章來說</w:t>
      </w:r>
      <w:r>
        <w:rPr>
          <w:rFonts w:hint="eastAsia"/>
        </w:rPr>
        <w:t>)</w:t>
      </w:r>
    </w:p>
  </w:comment>
  <w:comment w:id="8" w:author="even311379" w:date="2017-04-19T17:34:00Z" w:initials="">
    <w:p w14:paraId="670A19D6" w14:textId="77777777" w:rsidR="00FE1E6E" w:rsidRPr="008C3769" w:rsidRDefault="00FE1E6E">
      <w:pPr>
        <w:pStyle w:val="10"/>
        <w:widowControl w:val="0"/>
        <w:spacing w:line="240" w:lineRule="auto"/>
      </w:pPr>
      <w:r>
        <w:rPr>
          <w:rFonts w:ascii="Arial Unicode MS" w:eastAsia="Arial Unicode MS" w:hAnsi="Arial Unicode MS" w:cs="Arial Unicode MS"/>
        </w:rPr>
        <w:t>無法以圖表佐證(沒意義)，就是算出這樣的準確度。模擬的概念、設定、結果會陳述出來，或許在附上原始碼??</w:t>
      </w:r>
      <w:r>
        <w:rPr>
          <w:rFonts w:ascii="Arial Unicode MS" w:eastAsia="Arial Unicode MS" w:hAnsi="Arial Unicode MS" w:cs="Arial Unicode MS" w:hint="eastAsia"/>
        </w:rPr>
        <w:br/>
      </w:r>
      <w:r w:rsidRPr="008C3769">
        <w:rPr>
          <w:rFonts w:ascii="Arial Unicode MS" w:eastAsia="Arial Unicode MS" w:hAnsi="Arial Unicode MS" w:cs="Arial Unicode MS" w:hint="eastAsia"/>
          <w:b/>
        </w:rPr>
        <w:t>Reply：所以如果不是有圖表的話，原本Appendex 1的內容為何??</w:t>
      </w:r>
      <w:r w:rsidRPr="008C3769">
        <w:rPr>
          <w:rFonts w:ascii="Arial Unicode MS" w:eastAsia="Arial Unicode MS" w:hAnsi="Arial Unicode MS" w:cs="Arial Unicode MS" w:hint="eastAsia"/>
          <w:b/>
        </w:rPr>
        <w:br/>
        <w:t>是否有必要放在文內。依照保育季刊的格式，是不需要放文獻與參考資料的(通常是直接跟作者索取)</w:t>
      </w:r>
    </w:p>
  </w:comment>
  <w:comment w:id="9" w:author="lenovo" w:date="2017-04-19T17:34:00Z" w:initials="l">
    <w:p w14:paraId="098E1ACF" w14:textId="77777777" w:rsidR="00FE1E6E" w:rsidRDefault="00FE1E6E">
      <w:pPr>
        <w:pStyle w:val="ab"/>
      </w:pPr>
      <w:r>
        <w:rPr>
          <w:rStyle w:val="ad"/>
        </w:rPr>
        <w:annotationRef/>
      </w:r>
      <w:r>
        <w:t>如果以這樣的寫法說明是否更好？</w:t>
      </w:r>
      <w:r>
        <w:rPr>
          <w:rFonts w:hint="eastAsia"/>
        </w:rPr>
        <w:br/>
      </w:r>
      <w:r>
        <w:rPr>
          <w:rFonts w:hint="eastAsia"/>
        </w:rPr>
        <w:t>「兩者在排序前五名的差異程度不到</w:t>
      </w:r>
      <w:r>
        <w:rPr>
          <w:rFonts w:hint="eastAsia"/>
        </w:rPr>
        <w:t>20</w:t>
      </w:r>
      <w:r>
        <w:rPr>
          <w:rFonts w:hint="eastAsia"/>
        </w:rPr>
        <w:t>％」</w:t>
      </w:r>
      <w:r w:rsidRPr="008C3769">
        <w:rPr>
          <w:rFonts w:hint="eastAsia"/>
          <w:b/>
        </w:rPr>
        <w:t>(</w:t>
      </w:r>
      <w:r w:rsidRPr="008C3769">
        <w:rPr>
          <w:rFonts w:hint="eastAsia"/>
          <w:b/>
        </w:rPr>
        <w:t>意思是只有變動不到一個序位嗎</w:t>
      </w:r>
      <w:r w:rsidRPr="008C3769">
        <w:rPr>
          <w:rFonts w:hint="eastAsia"/>
          <w:b/>
        </w:rPr>
        <w:t>?)</w:t>
      </w:r>
    </w:p>
  </w:comment>
  <w:comment w:id="11" w:author="lenovo" w:date="2017-04-19T17:34:00Z" w:initials="l">
    <w:p w14:paraId="2BA7388A" w14:textId="77777777" w:rsidR="00FE1E6E" w:rsidRDefault="00FE1E6E">
      <w:pPr>
        <w:pStyle w:val="ab"/>
      </w:pPr>
      <w:r>
        <w:rPr>
          <w:rStyle w:val="ad"/>
        </w:rPr>
        <w:annotationRef/>
      </w:r>
      <w:r>
        <w:t>討論：</w:t>
      </w:r>
      <w:r>
        <w:rPr>
          <w:rFonts w:hint="eastAsia"/>
        </w:rPr>
        <w:br/>
      </w:r>
      <w:r>
        <w:rPr>
          <w:rFonts w:hint="eastAsia"/>
        </w:rPr>
        <w:t>用公司篩選面試的人作為比喻合適嗎</w:t>
      </w:r>
      <w:r>
        <w:rPr>
          <w:rFonts w:hint="eastAsia"/>
        </w:rPr>
        <w:t xml:space="preserve">? </w:t>
      </w:r>
      <w:r>
        <w:rPr>
          <w:rFonts w:hint="eastAsia"/>
        </w:rPr>
        <w:t>畢竟保育優先順序的的物種候選清單已經是紅皮書名錄。已經事先做過一次量化篩選了</w:t>
      </w:r>
    </w:p>
  </w:comment>
  <w:comment w:id="12" w:author="lenovo" w:date="2017-04-19T17:34:00Z" w:initials="l">
    <w:p w14:paraId="4930C898" w14:textId="77777777" w:rsidR="00FE1E6E" w:rsidRDefault="00FE1E6E">
      <w:pPr>
        <w:pStyle w:val="ab"/>
      </w:pPr>
      <w:r>
        <w:rPr>
          <w:rStyle w:val="ad"/>
        </w:rPr>
        <w:annotationRef/>
      </w:r>
      <w:r>
        <w:t>物種保育價值變得很重要！！</w:t>
      </w:r>
      <w:r>
        <w:rPr>
          <w:rFonts w:hint="eastAsia"/>
        </w:rPr>
        <w:br/>
      </w:r>
      <w:r>
        <w:rPr>
          <w:rFonts w:hint="eastAsia"/>
        </w:rPr>
        <w:t>順序必然是：</w:t>
      </w:r>
      <w:r>
        <w:rPr>
          <w:rFonts w:hint="eastAsia"/>
        </w:rPr>
        <w:t>V</w:t>
      </w:r>
      <w:r>
        <w:sym w:font="Wingdings" w:char="F0E0"/>
      </w:r>
      <w:r>
        <w:rPr>
          <w:rFonts w:hint="eastAsia"/>
        </w:rPr>
        <w:t>P</w:t>
      </w:r>
      <w:r>
        <w:sym w:font="Wingdings" w:char="F0E0"/>
      </w:r>
      <w:r>
        <w:rPr>
          <w:rFonts w:hint="eastAsia"/>
        </w:rPr>
        <w:t>C</w:t>
      </w:r>
      <w:r>
        <w:rPr>
          <w:rFonts w:hint="eastAsia"/>
        </w:rPr>
        <w:t>嗎</w:t>
      </w:r>
      <w:r>
        <w:rPr>
          <w:rFonts w:hint="eastAsia"/>
        </w:rPr>
        <w:t>?</w:t>
      </w:r>
      <w:r>
        <w:rPr>
          <w:rFonts w:hint="eastAsia"/>
        </w:rPr>
        <w:br/>
      </w:r>
      <w:r>
        <w:rPr>
          <w:rFonts w:hint="eastAsia"/>
        </w:rPr>
        <w:t>有其他可能性嗎</w:t>
      </w:r>
      <w:r>
        <w:rPr>
          <w:rFonts w:hint="eastAsia"/>
        </w:rPr>
        <w:t>?</w:t>
      </w:r>
      <w:r>
        <w:rPr>
          <w:rFonts w:hint="eastAsia"/>
        </w:rPr>
        <w:br/>
      </w:r>
      <w:r>
        <w:rPr>
          <w:rFonts w:hint="eastAsia"/>
        </w:rPr>
        <w:t>或是更為合適的流程？</w:t>
      </w:r>
    </w:p>
  </w:comment>
  <w:comment w:id="14" w:author="lenovo" w:date="2017-04-19T17:34:00Z" w:initials="l">
    <w:p w14:paraId="6F8C4D7A" w14:textId="77777777" w:rsidR="00FE1E6E" w:rsidRDefault="00FE1E6E" w:rsidP="0056452D">
      <w:pPr>
        <w:pStyle w:val="ab"/>
        <w:jc w:val="both"/>
      </w:pPr>
      <w:r>
        <w:rPr>
          <w:rStyle w:val="ad"/>
        </w:rPr>
        <w:annotationRef/>
      </w:r>
      <w:r>
        <w:t>是這樣的意思嗎</w:t>
      </w:r>
      <w:r>
        <w:rPr>
          <w:rFonts w:hint="eastAsia"/>
        </w:rPr>
        <w:t>?</w:t>
      </w:r>
      <w:r>
        <w:br/>
      </w:r>
      <w:r>
        <w:t>這部分會有實際模擬的結果</w:t>
      </w:r>
      <w:r>
        <w:rPr>
          <w:rFonts w:hint="eastAsia"/>
        </w:rPr>
        <w:t>(</w:t>
      </w:r>
      <w:r>
        <w:rPr>
          <w:rFonts w:hint="eastAsia"/>
        </w:rPr>
        <w:t>圖表嗎</w:t>
      </w:r>
      <w:r>
        <w:rPr>
          <w:rFonts w:hint="eastAsia"/>
        </w:rPr>
        <w:t>?)</w:t>
      </w:r>
      <w:r>
        <w:rPr>
          <w:rFonts w:hint="eastAsia"/>
        </w:rPr>
        <w:t>，如果有的話，或許可以放在發表在期刊的時候使用</w:t>
      </w:r>
    </w:p>
  </w:comment>
  <w:comment w:id="16" w:author="lenovo" w:date="2017-04-19T17:34:00Z" w:initials="l">
    <w:p w14:paraId="74852E7D" w14:textId="77777777" w:rsidR="00FE1E6E" w:rsidRDefault="00FE1E6E">
      <w:pPr>
        <w:pStyle w:val="ab"/>
      </w:pPr>
      <w:r>
        <w:rPr>
          <w:rStyle w:val="ad"/>
        </w:rPr>
        <w:annotationRef/>
      </w:r>
      <w:r>
        <w:t>定義目標的目的性與說明可以再明確點嗎？是相對於以往做保育行動都會有目標不明確的緣故？所以必須要特別強調這個部分嗎</w:t>
      </w:r>
      <w:r>
        <w:rPr>
          <w:rFonts w:hint="eastAsia"/>
        </w:rPr>
        <w:t>??</w:t>
      </w:r>
    </w:p>
  </w:comment>
  <w:comment w:id="20" w:author="lenovo" w:date="2017-04-19T17:35:00Z" w:initials="l">
    <w:p w14:paraId="34556447" w14:textId="77777777" w:rsidR="00FE1E6E" w:rsidRDefault="00FE1E6E">
      <w:pPr>
        <w:pStyle w:val="ab"/>
      </w:pPr>
      <w:r>
        <w:rPr>
          <w:rStyle w:val="ad"/>
        </w:rPr>
        <w:annotationRef/>
      </w:r>
      <w:r>
        <w:rPr>
          <w:rFonts w:hint="eastAsia"/>
        </w:rPr>
        <w:br/>
      </w:r>
      <w:r>
        <w:t>除了工作坊形式之外，有其他建議方式嗎？</w:t>
      </w:r>
      <w:r>
        <w:br/>
      </w:r>
      <w:r>
        <w:t>工作坊形式的召開，是否因前次參加</w:t>
      </w:r>
      <w:r>
        <w:rPr>
          <w:rFonts w:hint="eastAsia"/>
        </w:rPr>
        <w:t>IUCN</w:t>
      </w:r>
      <w:r>
        <w:rPr>
          <w:rFonts w:hint="eastAsia"/>
        </w:rPr>
        <w:t>石首魚評估工作坊的經驗而來。工作坊要可以達成其設定目標，在事先的資料蒐集準備工作</w:t>
      </w:r>
      <w:r>
        <w:rPr>
          <w:rFonts w:hint="eastAsia"/>
        </w:rPr>
        <w:t>(</w:t>
      </w:r>
      <w:r>
        <w:rPr>
          <w:rFonts w:hint="eastAsia"/>
        </w:rPr>
        <w:t>仍然需要蒐集並準備有用的資料進行討論</w:t>
      </w:r>
      <w:r>
        <w:rPr>
          <w:rFonts w:hint="eastAsia"/>
        </w:rPr>
        <w:t>)</w:t>
      </w:r>
      <w:r>
        <w:rPr>
          <w:rFonts w:hint="eastAsia"/>
        </w:rPr>
        <w:t>，以及會議中的進度掌握，以及資料品質的掌握都是不容易做到的。</w:t>
      </w:r>
      <w:r>
        <w:rPr>
          <w:rFonts w:hint="eastAsia"/>
        </w:rPr>
        <w:t>IUCN</w:t>
      </w:r>
      <w:r>
        <w:rPr>
          <w:rFonts w:hint="eastAsia"/>
        </w:rPr>
        <w:t>訓練許多</w:t>
      </w:r>
      <w:r>
        <w:rPr>
          <w:rFonts w:hint="eastAsia"/>
        </w:rPr>
        <w:t>staff</w:t>
      </w:r>
      <w:r>
        <w:rPr>
          <w:rFonts w:hint="eastAsia"/>
        </w:rPr>
        <w:t>來做到這個區塊，其也有保育行動計畫方案的工作坊</w:t>
      </w:r>
      <w:r>
        <w:rPr>
          <w:rFonts w:hint="eastAsia"/>
        </w:rPr>
        <w:t>(</w:t>
      </w:r>
      <w:r>
        <w:rPr>
          <w:rFonts w:hint="eastAsia"/>
        </w:rPr>
        <w:t>應該也有</w:t>
      </w:r>
      <w:r>
        <w:rPr>
          <w:rFonts w:hint="eastAsia"/>
        </w:rPr>
        <w:t>staff)</w:t>
      </w:r>
      <w:r>
        <w:rPr>
          <w:rFonts w:hint="eastAsia"/>
        </w:rPr>
        <w:t>才是，但我們不熟悉這個區塊。</w:t>
      </w:r>
    </w:p>
  </w:comment>
  <w:comment w:id="21" w:author="even311379" w:date="2017-04-19T17:34:00Z" w:initials="">
    <w:p w14:paraId="4AF4BCCD" w14:textId="77777777" w:rsidR="00FE1E6E" w:rsidRDefault="00FE1E6E">
      <w:pPr>
        <w:pStyle w:val="10"/>
        <w:widowControl w:val="0"/>
        <w:spacing w:line="240" w:lineRule="auto"/>
      </w:pPr>
      <w:r>
        <w:rPr>
          <w:rFonts w:ascii="Arial Unicode MS" w:eastAsia="Arial Unicode MS" w:hAnsi="Arial Unicode MS" w:cs="Arial Unicode MS"/>
        </w:rPr>
        <w:t>就是說要把保育優先評估的過程公開給大眾，要有產出實際的文獻。</w:t>
      </w:r>
    </w:p>
    <w:p w14:paraId="29FBE97A" w14:textId="77777777" w:rsidR="00FE1E6E" w:rsidRDefault="00FE1E6E">
      <w:pPr>
        <w:pStyle w:val="10"/>
        <w:widowControl w:val="0"/>
        <w:spacing w:line="240" w:lineRule="auto"/>
      </w:pPr>
    </w:p>
    <w:p w14:paraId="4038C177" w14:textId="77777777" w:rsidR="00FE1E6E" w:rsidRDefault="00FE1E6E">
      <w:pPr>
        <w:pStyle w:val="10"/>
        <w:widowControl w:val="0"/>
        <w:spacing w:line="240" w:lineRule="auto"/>
      </w:pPr>
      <w:r>
        <w:rPr>
          <w:rFonts w:ascii="Arial Unicode MS" w:eastAsia="Arial Unicode MS" w:hAnsi="Arial Unicode MS" w:cs="Arial Unicode MS"/>
        </w:rPr>
        <w:t>我認為這是很重要的，當有任何人問說為何要保育這種，而不去保育那種時就可以拿出這份文獻。</w:t>
      </w:r>
    </w:p>
    <w:p w14:paraId="5C62CB65" w14:textId="77777777" w:rsidR="00FE1E6E" w:rsidRDefault="00FE1E6E">
      <w:pPr>
        <w:pStyle w:val="10"/>
        <w:widowControl w:val="0"/>
        <w:spacing w:line="240" w:lineRule="auto"/>
      </w:pPr>
    </w:p>
    <w:p w14:paraId="5521C160" w14:textId="77777777" w:rsidR="00FE1E6E" w:rsidRDefault="00FE1E6E">
      <w:pPr>
        <w:pStyle w:val="10"/>
        <w:widowControl w:val="0"/>
        <w:spacing w:line="240" w:lineRule="auto"/>
      </w:pPr>
      <w:r>
        <w:rPr>
          <w:rFonts w:ascii="Arial Unicode MS" w:eastAsia="Arial Unicode MS" w:hAnsi="Arial Unicode MS" w:cs="Arial Unicode MS"/>
        </w:rPr>
        <w:t>即使是後續實際要做實施保育行動時，讓大家知道我們不是亂選的，而是這個物種真的很有希望能救起來，這也更能提高團隊的鬥志。</w:t>
      </w:r>
    </w:p>
    <w:p w14:paraId="0B0457FF" w14:textId="77777777" w:rsidR="00FE1E6E" w:rsidRDefault="00FE1E6E">
      <w:pPr>
        <w:pStyle w:val="10"/>
        <w:widowControl w:val="0"/>
        <w:spacing w:line="240" w:lineRule="auto"/>
      </w:pPr>
    </w:p>
    <w:p w14:paraId="40B07621" w14:textId="77777777" w:rsidR="00FE1E6E" w:rsidRDefault="00FE1E6E">
      <w:pPr>
        <w:pStyle w:val="10"/>
        <w:widowControl w:val="0"/>
        <w:spacing w:line="240" w:lineRule="auto"/>
      </w:pPr>
      <w:r>
        <w:rPr>
          <w:rFonts w:ascii="Arial Unicode MS" w:eastAsia="Arial Unicode MS" w:hAnsi="Arial Unicode MS" w:cs="Arial Unicode MS"/>
        </w:rPr>
        <w:t>類似的論述在(Game 2012 Six common mistakes in conservation prioritization)有提到</w:t>
      </w:r>
    </w:p>
  </w:comment>
  <w:comment w:id="22" w:author="even311379" w:date="2017-04-19T17:34:00Z" w:initials="">
    <w:p w14:paraId="4CB09512" w14:textId="77777777" w:rsidR="00FE1E6E" w:rsidRDefault="00FE1E6E">
      <w:pPr>
        <w:pStyle w:val="10"/>
        <w:widowControl w:val="0"/>
        <w:spacing w:line="240" w:lineRule="auto"/>
      </w:pPr>
      <w:r>
        <w:rPr>
          <w:rFonts w:ascii="Arial Unicode MS" w:eastAsia="Arial Unicode MS" w:hAnsi="Arial Unicode MS" w:cs="Arial Unicode MS"/>
        </w:rPr>
        <w:t>剔除這件事情是很難去決定的，所以我傾向以專家會議共識決去處理，而不是直接設定剔除百分之多少</w:t>
      </w:r>
    </w:p>
    <w:p w14:paraId="2D53BF83" w14:textId="77777777" w:rsidR="00FE1E6E" w:rsidRDefault="00FE1E6E">
      <w:pPr>
        <w:pStyle w:val="10"/>
        <w:widowControl w:val="0"/>
        <w:spacing w:line="240" w:lineRule="auto"/>
      </w:pPr>
    </w:p>
    <w:p w14:paraId="00E6D49E" w14:textId="77777777" w:rsidR="00FE1E6E" w:rsidRDefault="00FE1E6E">
      <w:pPr>
        <w:pStyle w:val="10"/>
        <w:widowControl w:val="0"/>
        <w:spacing w:line="240" w:lineRule="auto"/>
      </w:pPr>
      <w:r>
        <w:rPr>
          <w:rFonts w:ascii="Arial Unicode MS" w:eastAsia="Arial Unicode MS" w:hAnsi="Arial Unicode MS" w:cs="Arial Unicode MS"/>
        </w:rPr>
        <w:t>另外我也不認為剔除是一定要採納的方式，如果可以的話完全不剔除也無妨</w:t>
      </w:r>
    </w:p>
  </w:comment>
  <w:comment w:id="23" w:author="lenovo" w:date="2017-04-20T11:30:00Z" w:initials="l">
    <w:p w14:paraId="32776493" w14:textId="77777777" w:rsidR="00FE1E6E" w:rsidRDefault="00FE1E6E">
      <w:pPr>
        <w:pStyle w:val="ab"/>
      </w:pPr>
      <w:r>
        <w:rPr>
          <w:rStyle w:val="ad"/>
        </w:rPr>
        <w:annotationRef/>
      </w:r>
      <w:r>
        <w:t>這句話在這段落中算是重要的引言嗎？但認為要引用這句話在此處的原因為何？是為了說明</w:t>
      </w:r>
      <w:r>
        <w:t>”</w:t>
      </w:r>
      <w:r>
        <w:t>決定</w:t>
      </w:r>
      <w:r>
        <w:t>”</w:t>
      </w:r>
      <w:r>
        <w:rPr>
          <w:rFonts w:hint="eastAsia"/>
        </w:rPr>
        <w:t>這件事情的背後受到偏好有多大的影響嗎</w:t>
      </w:r>
      <w:r>
        <w:rPr>
          <w:rFonts w:hint="eastAsia"/>
        </w:rPr>
        <w:t>?</w:t>
      </w:r>
    </w:p>
  </w:comment>
  <w:comment w:id="48" w:author="lenovo" w:date="2017-04-22T12:22:00Z" w:initials="l">
    <w:p w14:paraId="295A3791" w14:textId="77777777" w:rsidR="00FE1E6E" w:rsidRDefault="00FE1E6E">
      <w:pPr>
        <w:pStyle w:val="ab"/>
      </w:pPr>
      <w:r>
        <w:rPr>
          <w:rStyle w:val="ad"/>
        </w:rPr>
        <w:annotationRef/>
      </w:r>
      <w:r>
        <w:rPr>
          <w:rFonts w:hint="eastAsia"/>
        </w:rPr>
        <w:t>指標項目中有些有中英文名詞對照，有些項目沒有，但有些項目有兩個。是否應該一致。</w:t>
      </w:r>
    </w:p>
  </w:comment>
  <w:comment w:id="49" w:author="lenovo" w:date="2017-04-22T12:27:00Z" w:initials="l">
    <w:p w14:paraId="051284B1" w14:textId="77777777" w:rsidR="00FE1E6E" w:rsidRPr="00043334" w:rsidRDefault="00FE1E6E">
      <w:pPr>
        <w:pStyle w:val="ab"/>
      </w:pPr>
      <w:r>
        <w:rPr>
          <w:rStyle w:val="ad"/>
        </w:rPr>
        <w:annotationRef/>
      </w:r>
      <w:r>
        <w:t>特有性與親源獨特性的差異，是否需要另外一個段落說清處</w:t>
      </w:r>
      <w:r>
        <w:rPr>
          <w:rFonts w:hint="eastAsia"/>
        </w:rPr>
        <w:t xml:space="preserve">?? </w:t>
      </w:r>
      <w:r>
        <w:rPr>
          <w:rFonts w:hint="eastAsia"/>
        </w:rPr>
        <w:t>或是要舉出實際的案例</w:t>
      </w:r>
      <w:r>
        <w:rPr>
          <w:rFonts w:hint="eastAsia"/>
        </w:rPr>
        <w:t>??</w:t>
      </w:r>
      <w:r>
        <w:br/>
      </w:r>
      <w:r>
        <w:rPr>
          <w:rFonts w:hint="eastAsia"/>
        </w:rPr>
        <w:t>1.</w:t>
      </w:r>
      <w:r>
        <w:rPr>
          <w:rFonts w:hint="eastAsia"/>
        </w:rPr>
        <w:t>下表</w:t>
      </w:r>
      <w:r>
        <w:rPr>
          <w:rFonts w:hint="eastAsia"/>
        </w:rPr>
        <w:t>2</w:t>
      </w:r>
      <w:r>
        <w:rPr>
          <w:rFonts w:hint="eastAsia"/>
        </w:rPr>
        <w:t>中沒有親源獨特性的建議指標與評分分數</w:t>
      </w:r>
      <w:r>
        <w:t>……</w:t>
      </w:r>
      <w:r>
        <w:rPr>
          <w:rFonts w:hint="eastAsia"/>
        </w:rPr>
        <w:t>.</w:t>
      </w:r>
      <w:r>
        <w:rPr>
          <w:rFonts w:hint="eastAsia"/>
        </w:rPr>
        <w:br/>
        <w:t>2.</w:t>
      </w:r>
      <w:r>
        <w:rPr>
          <w:rFonts w:hint="eastAsia"/>
        </w:rPr>
        <w:t>另外特有性以</w:t>
      </w:r>
      <w:r>
        <w:rPr>
          <w:rFonts w:ascii="Kinnari" w:eastAsia="Kinnari" w:hAnsi="Kinnari" w:cs="Kinnari"/>
          <w:color w:val="00000A"/>
          <w:sz w:val="16"/>
          <w:szCs w:val="16"/>
        </w:rPr>
        <w:t>以該物種在此地區佔全球數量百分比作為設定，此部分在紅皮書地區性評估時若已經納入的話</w:t>
      </w:r>
      <w:r>
        <w:rPr>
          <w:rFonts w:ascii="Kinnari" w:hAnsi="Kinnari" w:cs="Kinnari" w:hint="eastAsia"/>
          <w:color w:val="00000A"/>
          <w:sz w:val="16"/>
          <w:szCs w:val="16"/>
        </w:rPr>
        <w:t>??</w:t>
      </w:r>
      <w:r>
        <w:rPr>
          <w:rFonts w:ascii="Kinnari" w:hAnsi="Kinnari" w:cs="Kinnari" w:hint="eastAsia"/>
          <w:color w:val="00000A"/>
          <w:sz w:val="16"/>
          <w:szCs w:val="16"/>
        </w:rPr>
        <w:t>應該如何處理才不會有重複使用評估條件的問題</w:t>
      </w:r>
      <w:r>
        <w:rPr>
          <w:rFonts w:ascii="Kinnari" w:hAnsi="Kinnari" w:cs="Kinnari" w:hint="eastAsia"/>
          <w:color w:val="00000A"/>
          <w:sz w:val="16"/>
          <w:szCs w:val="16"/>
        </w:rPr>
        <w:t>?</w:t>
      </w:r>
    </w:p>
  </w:comment>
  <w:comment w:id="50" w:author="lenovo" w:date="2017-04-26T09:46:00Z" w:initials="l">
    <w:p w14:paraId="32792F50" w14:textId="77777777" w:rsidR="00FE1E6E" w:rsidRDefault="00FE1E6E">
      <w:pPr>
        <w:pStyle w:val="ab"/>
      </w:pPr>
      <w:r>
        <w:rPr>
          <w:rStyle w:val="ad"/>
        </w:rPr>
        <w:annotationRef/>
      </w:r>
      <w:r>
        <w:t>預測未來的族群恢復狀況嗎</w:t>
      </w:r>
      <w:r>
        <w:rPr>
          <w:rFonts w:hint="eastAsia"/>
        </w:rPr>
        <w:t>??</w:t>
      </w:r>
      <w:r>
        <w:rPr>
          <w:rFonts w:hint="eastAsia"/>
        </w:rPr>
        <w:t>或是如果可能的話，直接以規劃可能的監測計畫作為替代</w:t>
      </w:r>
      <w:r>
        <w:rPr>
          <w:rFonts w:hint="eastAsia"/>
        </w:rPr>
        <w:t>(</w:t>
      </w:r>
      <w:r>
        <w:rPr>
          <w:rFonts w:hint="eastAsia"/>
        </w:rPr>
        <w:t>理想面是所有的物種都必須執行監測計畫，但現實面卻很難做到</w:t>
      </w:r>
      <w:r>
        <w:rPr>
          <w:rFonts w:hint="eastAsia"/>
        </w:rPr>
        <w:t>)</w:t>
      </w:r>
    </w:p>
  </w:comment>
  <w:comment w:id="51" w:author="lenovo" w:date="2017-04-26T09:53:00Z" w:initials="l">
    <w:p w14:paraId="6E18EA50" w14:textId="77777777" w:rsidR="00FE1E6E" w:rsidRDefault="00FE1E6E">
      <w:pPr>
        <w:pStyle w:val="ab"/>
      </w:pPr>
      <w:r>
        <w:rPr>
          <w:rStyle w:val="ad"/>
        </w:rPr>
        <w:annotationRef/>
      </w:r>
      <w:r>
        <w:t>恢復狀況是否與生殖潛力有高度相關，覺得還有討論空間，這跟所謂「恢復狀況」程度的判斷和定義都有關係。是否有可能將監測計畫執行與否納入考量，或是將監測成果作為恢復狀況判斷的依據？。</w:t>
      </w:r>
    </w:p>
  </w:comment>
  <w:comment w:id="52" w:author="lenovo" w:date="2017-05-02T10:02:00Z" w:initials="l">
    <w:p w14:paraId="4CE1E3E1" w14:textId="77777777" w:rsidR="00FE1E6E" w:rsidRDefault="00FE1E6E">
      <w:pPr>
        <w:pStyle w:val="ab"/>
      </w:pPr>
      <w:r>
        <w:rPr>
          <w:rStyle w:val="ad"/>
        </w:rPr>
        <w:annotationRef/>
      </w:r>
      <w:r>
        <w:t>人工繁殖技術或許也該分等級</w:t>
      </w:r>
      <w:r>
        <w:rPr>
          <w:rFonts w:hint="eastAsia"/>
        </w:rPr>
        <w:t>：</w:t>
      </w:r>
      <w:r>
        <w:rPr>
          <w:rFonts w:hint="eastAsia"/>
        </w:rPr>
        <w:t>(1)</w:t>
      </w:r>
      <w:r>
        <w:rPr>
          <w:rFonts w:hint="eastAsia"/>
        </w:rPr>
        <w:t>人工受精技術已建立，</w:t>
      </w:r>
      <w:r>
        <w:rPr>
          <w:rFonts w:hint="eastAsia"/>
        </w:rPr>
        <w:t>(2)</w:t>
      </w:r>
      <w:r>
        <w:rPr>
          <w:rFonts w:hint="eastAsia"/>
        </w:rPr>
        <w:t>幼魚養殖技術已建立，</w:t>
      </w:r>
      <w:r>
        <w:rPr>
          <w:rFonts w:hint="eastAsia"/>
        </w:rPr>
        <w:t>(3)</w:t>
      </w:r>
      <w:r>
        <w:rPr>
          <w:rFonts w:hint="eastAsia"/>
        </w:rPr>
        <w:t>成魚養殖技術已建立。這些不同程度的技術會與是否可以進行人工放流有關。</w:t>
      </w:r>
    </w:p>
  </w:comment>
  <w:comment w:id="53" w:author="lenovo" w:date="2017-05-02T09:47:00Z" w:initials="l">
    <w:p w14:paraId="10F004AF" w14:textId="77777777" w:rsidR="00FE1E6E" w:rsidRDefault="00FE1E6E">
      <w:pPr>
        <w:pStyle w:val="ab"/>
      </w:pPr>
      <w:r>
        <w:rPr>
          <w:rStyle w:val="ad"/>
        </w:rPr>
        <w:annotationRef/>
      </w:r>
      <w:r>
        <w:t>這部分的定義如果要嚴謹，似乎要花上不少時間和精力。</w:t>
      </w:r>
    </w:p>
  </w:comment>
  <w:comment w:id="54" w:author="lenovo" w:date="2017-05-02T10:04:00Z" w:initials="l">
    <w:p w14:paraId="62F06E29" w14:textId="77777777" w:rsidR="00FE1E6E" w:rsidRDefault="00FE1E6E">
      <w:pPr>
        <w:pStyle w:val="ab"/>
      </w:pPr>
      <w:r>
        <w:rPr>
          <w:rStyle w:val="ad"/>
        </w:rPr>
        <w:annotationRef/>
      </w:r>
      <w:r>
        <w:t>有建議的原因？不做量化算式的原因為何？是否在文中說明更清楚</w:t>
      </w:r>
    </w:p>
  </w:comment>
  <w:comment w:id="55" w:author="lenovo" w:date="2017-05-02T10:29:00Z" w:initials="l">
    <w:p w14:paraId="3CBF0AC3" w14:textId="77777777" w:rsidR="00FE1E6E" w:rsidRDefault="00FE1E6E">
      <w:pPr>
        <w:pStyle w:val="ab"/>
      </w:pPr>
      <w:r>
        <w:rPr>
          <w:rStyle w:val="ad"/>
        </w:rPr>
        <w:annotationRef/>
      </w:r>
      <w:r>
        <w:t>這句話不是很明瞭，或是可有實際步驟參考？</w:t>
      </w:r>
    </w:p>
  </w:comment>
  <w:comment w:id="56" w:author="lenovo" w:date="2017-05-02T13:34:00Z" w:initials="l">
    <w:p w14:paraId="080CBBF3" w14:textId="77777777" w:rsidR="00FE1E6E" w:rsidRDefault="00FE1E6E">
      <w:pPr>
        <w:pStyle w:val="ab"/>
      </w:pPr>
      <w:r>
        <w:rPr>
          <w:rStyle w:val="ad"/>
        </w:rPr>
        <w:annotationRef/>
      </w:r>
      <w:r>
        <w:t>有更實際的對照情況可以說明嗎</w:t>
      </w:r>
      <w:r>
        <w:rPr>
          <w:rFonts w:hint="eastAsia"/>
        </w:rPr>
        <w:t>？</w:t>
      </w:r>
    </w:p>
  </w:comment>
  <w:comment w:id="57" w:author="lenovo" w:date="2017-05-02T13:41:00Z" w:initials="l">
    <w:p w14:paraId="6B931C56" w14:textId="77777777" w:rsidR="00FE1E6E" w:rsidRDefault="00FE1E6E">
      <w:pPr>
        <w:pStyle w:val="ab"/>
      </w:pPr>
      <w:r>
        <w:rPr>
          <w:rStyle w:val="ad"/>
        </w:rPr>
        <w:annotationRef/>
      </w:r>
      <w:r>
        <w:t>紅皮書評估也會很容易面對這樣的問題，其所克服的方式，是否合適在保育優先順序建立的評估流程中？</w:t>
      </w:r>
    </w:p>
  </w:comment>
  <w:comment w:id="60" w:author="lenovo" w:date="2017-05-02T14:47:00Z" w:initials="l">
    <w:p w14:paraId="05B2FEE4" w14:textId="77777777" w:rsidR="00FE1E6E" w:rsidRDefault="00FE1E6E">
      <w:pPr>
        <w:pStyle w:val="ab"/>
      </w:pPr>
      <w:r>
        <w:rPr>
          <w:rStyle w:val="ad"/>
        </w:rPr>
        <w:annotationRef/>
      </w:r>
      <w:r>
        <w:t>這段是否考慮不要放在最後一段？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E3137" w15:done="0"/>
  <w15:commentEx w15:paraId="2242D11E" w15:done="0"/>
  <w15:commentEx w15:paraId="785D1FF8" w15:done="0"/>
  <w15:commentEx w15:paraId="27A07684" w15:done="0"/>
  <w15:commentEx w15:paraId="51EF5E86" w15:done="0"/>
  <w15:commentEx w15:paraId="670A19D6" w15:done="0"/>
  <w15:commentEx w15:paraId="098E1ACF" w15:done="0"/>
  <w15:commentEx w15:paraId="2BA7388A" w15:done="0"/>
  <w15:commentEx w15:paraId="4930C898" w15:done="0"/>
  <w15:commentEx w15:paraId="6F8C4D7A" w15:done="0"/>
  <w15:commentEx w15:paraId="74852E7D" w15:done="0"/>
  <w15:commentEx w15:paraId="34556447" w15:done="0"/>
  <w15:commentEx w15:paraId="40B07621" w15:done="0"/>
  <w15:commentEx w15:paraId="00E6D49E" w15:done="0"/>
  <w15:commentEx w15:paraId="32776493" w15:done="0"/>
  <w15:commentEx w15:paraId="295A3791" w15:done="0"/>
  <w15:commentEx w15:paraId="051284B1" w15:done="0"/>
  <w15:commentEx w15:paraId="32792F50" w15:done="0"/>
  <w15:commentEx w15:paraId="6E18EA50" w15:done="0"/>
  <w15:commentEx w15:paraId="4CE1E3E1" w15:done="0"/>
  <w15:commentEx w15:paraId="10F004AF" w15:done="0"/>
  <w15:commentEx w15:paraId="62F06E29" w15:done="0"/>
  <w15:commentEx w15:paraId="3CBF0AC3" w15:done="0"/>
  <w15:commentEx w15:paraId="080CBBF3" w15:done="0"/>
  <w15:commentEx w15:paraId="6B931C56" w15:done="0"/>
  <w15:commentEx w15:paraId="05B2FE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B302" w14:textId="77777777" w:rsidR="00E94D93" w:rsidRDefault="00E94D93" w:rsidP="0093547B">
      <w:pPr>
        <w:spacing w:line="240" w:lineRule="auto"/>
      </w:pPr>
      <w:r>
        <w:separator/>
      </w:r>
    </w:p>
  </w:endnote>
  <w:endnote w:type="continuationSeparator" w:id="0">
    <w:p w14:paraId="03157FEC" w14:textId="77777777" w:rsidR="00E94D93" w:rsidRDefault="00E94D93" w:rsidP="00935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Kinnari">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AR PL UMing TW">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1387B" w14:textId="77777777" w:rsidR="00E94D93" w:rsidRDefault="00E94D93" w:rsidP="0093547B">
      <w:pPr>
        <w:spacing w:line="240" w:lineRule="auto"/>
      </w:pPr>
      <w:r>
        <w:separator/>
      </w:r>
    </w:p>
  </w:footnote>
  <w:footnote w:type="continuationSeparator" w:id="0">
    <w:p w14:paraId="0EA9449A" w14:textId="77777777" w:rsidR="00E94D93" w:rsidRDefault="00E94D93" w:rsidP="0093547B">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n">
    <w15:presenceInfo w15:providerId="None" w15:userId="Ev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A1C85"/>
    <w:rsid w:val="00043334"/>
    <w:rsid w:val="00083536"/>
    <w:rsid w:val="00090370"/>
    <w:rsid w:val="000C3FD3"/>
    <w:rsid w:val="001217C9"/>
    <w:rsid w:val="00141763"/>
    <w:rsid w:val="00202216"/>
    <w:rsid w:val="002153E7"/>
    <w:rsid w:val="002245AC"/>
    <w:rsid w:val="00232CFB"/>
    <w:rsid w:val="002352AC"/>
    <w:rsid w:val="002641F1"/>
    <w:rsid w:val="00282659"/>
    <w:rsid w:val="002A1C85"/>
    <w:rsid w:val="002E2AF2"/>
    <w:rsid w:val="002E6479"/>
    <w:rsid w:val="00373F40"/>
    <w:rsid w:val="00461495"/>
    <w:rsid w:val="004B4974"/>
    <w:rsid w:val="004D7B46"/>
    <w:rsid w:val="0056452D"/>
    <w:rsid w:val="005920B1"/>
    <w:rsid w:val="006934B7"/>
    <w:rsid w:val="00697759"/>
    <w:rsid w:val="006A2935"/>
    <w:rsid w:val="006E2198"/>
    <w:rsid w:val="00751734"/>
    <w:rsid w:val="00765F25"/>
    <w:rsid w:val="007A2430"/>
    <w:rsid w:val="007E4B91"/>
    <w:rsid w:val="007F7D3D"/>
    <w:rsid w:val="00873859"/>
    <w:rsid w:val="008C3769"/>
    <w:rsid w:val="008D14FF"/>
    <w:rsid w:val="008F62E9"/>
    <w:rsid w:val="009234CF"/>
    <w:rsid w:val="0093547B"/>
    <w:rsid w:val="00943004"/>
    <w:rsid w:val="00A04528"/>
    <w:rsid w:val="00AD674A"/>
    <w:rsid w:val="00B024CC"/>
    <w:rsid w:val="00BA3EA2"/>
    <w:rsid w:val="00BC2432"/>
    <w:rsid w:val="00C216BE"/>
    <w:rsid w:val="00C674E8"/>
    <w:rsid w:val="00D03047"/>
    <w:rsid w:val="00D27171"/>
    <w:rsid w:val="00D331FD"/>
    <w:rsid w:val="00D73144"/>
    <w:rsid w:val="00E67CC8"/>
    <w:rsid w:val="00E94D93"/>
    <w:rsid w:val="00EC6758"/>
    <w:rsid w:val="00EF09A6"/>
    <w:rsid w:val="00F10399"/>
    <w:rsid w:val="00F70410"/>
    <w:rsid w:val="00F80828"/>
    <w:rsid w:val="00F96377"/>
    <w:rsid w:val="00FB6190"/>
    <w:rsid w:val="00FC2CF8"/>
    <w:rsid w:val="00FC6177"/>
    <w:rsid w:val="00FE0385"/>
    <w:rsid w:val="00FE1E6E"/>
    <w:rsid w:val="00FF05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4BA9A"/>
  <w15:docId w15:val="{863CE87A-DF11-466A-A34D-D42A4D7A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10"/>
    <w:next w:val="10"/>
    <w:rsid w:val="002A1C85"/>
    <w:pPr>
      <w:keepNext/>
      <w:keepLines/>
      <w:spacing w:before="480" w:after="120"/>
      <w:contextualSpacing/>
      <w:outlineLvl w:val="0"/>
    </w:pPr>
    <w:rPr>
      <w:b/>
      <w:sz w:val="48"/>
      <w:szCs w:val="48"/>
    </w:rPr>
  </w:style>
  <w:style w:type="paragraph" w:styleId="2">
    <w:name w:val="heading 2"/>
    <w:basedOn w:val="10"/>
    <w:next w:val="10"/>
    <w:rsid w:val="002A1C85"/>
    <w:pPr>
      <w:keepNext/>
      <w:keepLines/>
      <w:spacing w:before="360" w:after="80"/>
      <w:contextualSpacing/>
      <w:outlineLvl w:val="1"/>
    </w:pPr>
    <w:rPr>
      <w:b/>
      <w:sz w:val="36"/>
      <w:szCs w:val="36"/>
    </w:rPr>
  </w:style>
  <w:style w:type="paragraph" w:styleId="3">
    <w:name w:val="heading 3"/>
    <w:basedOn w:val="10"/>
    <w:next w:val="10"/>
    <w:rsid w:val="002A1C85"/>
    <w:pPr>
      <w:keepNext/>
      <w:keepLines/>
      <w:spacing w:before="280" w:after="80"/>
      <w:contextualSpacing/>
      <w:outlineLvl w:val="2"/>
    </w:pPr>
    <w:rPr>
      <w:b/>
      <w:sz w:val="28"/>
      <w:szCs w:val="28"/>
    </w:rPr>
  </w:style>
  <w:style w:type="paragraph" w:styleId="4">
    <w:name w:val="heading 4"/>
    <w:basedOn w:val="10"/>
    <w:next w:val="10"/>
    <w:rsid w:val="002A1C85"/>
    <w:pPr>
      <w:keepNext/>
      <w:keepLines/>
      <w:spacing w:before="240" w:after="40"/>
      <w:contextualSpacing/>
      <w:outlineLvl w:val="3"/>
    </w:pPr>
    <w:rPr>
      <w:b/>
      <w:sz w:val="24"/>
      <w:szCs w:val="24"/>
    </w:rPr>
  </w:style>
  <w:style w:type="paragraph" w:styleId="5">
    <w:name w:val="heading 5"/>
    <w:basedOn w:val="10"/>
    <w:next w:val="10"/>
    <w:rsid w:val="002A1C85"/>
    <w:pPr>
      <w:keepNext/>
      <w:keepLines/>
      <w:spacing w:before="220" w:after="40"/>
      <w:contextualSpacing/>
      <w:outlineLvl w:val="4"/>
    </w:pPr>
    <w:rPr>
      <w:b/>
    </w:rPr>
  </w:style>
  <w:style w:type="paragraph" w:styleId="6">
    <w:name w:val="heading 6"/>
    <w:basedOn w:val="10"/>
    <w:next w:val="10"/>
    <w:rsid w:val="002A1C85"/>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2A1C85"/>
  </w:style>
  <w:style w:type="table" w:customStyle="1" w:styleId="TableNormal">
    <w:name w:val="Table Normal"/>
    <w:rsid w:val="002A1C85"/>
    <w:tblPr>
      <w:tblCellMar>
        <w:top w:w="0" w:type="dxa"/>
        <w:left w:w="0" w:type="dxa"/>
        <w:bottom w:w="0" w:type="dxa"/>
        <w:right w:w="0" w:type="dxa"/>
      </w:tblCellMar>
    </w:tblPr>
  </w:style>
  <w:style w:type="paragraph" w:styleId="a3">
    <w:name w:val="Title"/>
    <w:basedOn w:val="10"/>
    <w:next w:val="10"/>
    <w:rsid w:val="002A1C85"/>
    <w:pPr>
      <w:keepNext/>
      <w:keepLines/>
      <w:spacing w:before="480" w:after="120"/>
      <w:contextualSpacing/>
    </w:pPr>
    <w:rPr>
      <w:b/>
      <w:sz w:val="72"/>
      <w:szCs w:val="72"/>
    </w:rPr>
  </w:style>
  <w:style w:type="paragraph" w:styleId="a4">
    <w:name w:val="Subtitle"/>
    <w:basedOn w:val="10"/>
    <w:next w:val="10"/>
    <w:rsid w:val="002A1C85"/>
    <w:pPr>
      <w:keepNext/>
      <w:keepLines/>
      <w:spacing w:before="360" w:after="80"/>
      <w:contextualSpacing/>
    </w:pPr>
    <w:rPr>
      <w:rFonts w:ascii="Georgia" w:eastAsia="Georgia" w:hAnsi="Georgia" w:cs="Georgia"/>
      <w:i/>
      <w:color w:val="666666"/>
      <w:sz w:val="48"/>
      <w:szCs w:val="48"/>
    </w:rPr>
  </w:style>
  <w:style w:type="table" w:customStyle="1" w:styleId="a5">
    <w:basedOn w:val="TableNormal"/>
    <w:rsid w:val="002A1C85"/>
    <w:tblPr>
      <w:tblStyleRowBandSize w:val="1"/>
      <w:tblStyleColBandSize w:val="1"/>
      <w:tblCellMar>
        <w:left w:w="153" w:type="dxa"/>
        <w:right w:w="108" w:type="dxa"/>
      </w:tblCellMar>
    </w:tblPr>
  </w:style>
  <w:style w:type="table" w:customStyle="1" w:styleId="a6">
    <w:basedOn w:val="TableNormal"/>
    <w:rsid w:val="002A1C85"/>
    <w:tblPr>
      <w:tblStyleRowBandSize w:val="1"/>
      <w:tblStyleColBandSize w:val="1"/>
      <w:tblCellMar>
        <w:left w:w="153" w:type="dxa"/>
        <w:right w:w="108" w:type="dxa"/>
      </w:tblCellMar>
    </w:tblPr>
  </w:style>
  <w:style w:type="table" w:customStyle="1" w:styleId="a7">
    <w:basedOn w:val="TableNormal"/>
    <w:rsid w:val="002A1C85"/>
    <w:tblPr>
      <w:tblStyleRowBandSize w:val="1"/>
      <w:tblStyleColBandSize w:val="1"/>
      <w:tblCellMar>
        <w:left w:w="118" w:type="dxa"/>
        <w:right w:w="108" w:type="dxa"/>
      </w:tblCellMar>
    </w:tblPr>
  </w:style>
  <w:style w:type="table" w:customStyle="1" w:styleId="a8">
    <w:basedOn w:val="TableNormal"/>
    <w:rsid w:val="002A1C85"/>
    <w:tblPr>
      <w:tblStyleRowBandSize w:val="1"/>
      <w:tblStyleColBandSize w:val="1"/>
      <w:tblCellMar>
        <w:left w:w="28" w:type="dxa"/>
        <w:right w:w="28" w:type="dxa"/>
      </w:tblCellMar>
    </w:tblPr>
  </w:style>
  <w:style w:type="table" w:customStyle="1" w:styleId="a9">
    <w:basedOn w:val="TableNormal"/>
    <w:rsid w:val="002A1C85"/>
    <w:tblPr>
      <w:tblStyleRowBandSize w:val="1"/>
      <w:tblStyleColBandSize w:val="1"/>
      <w:tblCellMar>
        <w:left w:w="153" w:type="dxa"/>
        <w:right w:w="108" w:type="dxa"/>
      </w:tblCellMar>
    </w:tblPr>
  </w:style>
  <w:style w:type="table" w:customStyle="1" w:styleId="aa">
    <w:basedOn w:val="TableNormal"/>
    <w:rsid w:val="002A1C85"/>
    <w:tblPr>
      <w:tblStyleRowBandSize w:val="1"/>
      <w:tblStyleColBandSize w:val="1"/>
      <w:tblCellMar>
        <w:left w:w="153" w:type="dxa"/>
        <w:right w:w="108" w:type="dxa"/>
      </w:tblCellMar>
    </w:tblPr>
  </w:style>
  <w:style w:type="paragraph" w:styleId="ab">
    <w:name w:val="annotation text"/>
    <w:basedOn w:val="a"/>
    <w:link w:val="ac"/>
    <w:uiPriority w:val="99"/>
    <w:semiHidden/>
    <w:unhideWhenUsed/>
    <w:rsid w:val="002A1C85"/>
  </w:style>
  <w:style w:type="character" w:customStyle="1" w:styleId="ac">
    <w:name w:val="註解文字 字元"/>
    <w:basedOn w:val="a0"/>
    <w:link w:val="ab"/>
    <w:uiPriority w:val="99"/>
    <w:semiHidden/>
    <w:rsid w:val="002A1C85"/>
  </w:style>
  <w:style w:type="character" w:styleId="ad">
    <w:name w:val="annotation reference"/>
    <w:basedOn w:val="a0"/>
    <w:uiPriority w:val="99"/>
    <w:semiHidden/>
    <w:unhideWhenUsed/>
    <w:rsid w:val="002A1C85"/>
    <w:rPr>
      <w:sz w:val="18"/>
      <w:szCs w:val="18"/>
    </w:rPr>
  </w:style>
  <w:style w:type="paragraph" w:styleId="ae">
    <w:name w:val="Balloon Text"/>
    <w:basedOn w:val="a"/>
    <w:link w:val="af"/>
    <w:uiPriority w:val="99"/>
    <w:semiHidden/>
    <w:unhideWhenUsed/>
    <w:rsid w:val="0093547B"/>
    <w:pPr>
      <w:spacing w:line="240" w:lineRule="auto"/>
    </w:pPr>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3547B"/>
    <w:rPr>
      <w:rFonts w:asciiTheme="majorHAnsi" w:eastAsiaTheme="majorEastAsia" w:hAnsiTheme="majorHAnsi" w:cstheme="majorBidi"/>
      <w:sz w:val="18"/>
      <w:szCs w:val="18"/>
    </w:rPr>
  </w:style>
  <w:style w:type="paragraph" w:styleId="af0">
    <w:name w:val="header"/>
    <w:basedOn w:val="a"/>
    <w:link w:val="af1"/>
    <w:uiPriority w:val="99"/>
    <w:semiHidden/>
    <w:unhideWhenUsed/>
    <w:rsid w:val="0093547B"/>
    <w:pPr>
      <w:tabs>
        <w:tab w:val="center" w:pos="4153"/>
        <w:tab w:val="right" w:pos="8306"/>
      </w:tabs>
      <w:snapToGrid w:val="0"/>
    </w:pPr>
    <w:rPr>
      <w:sz w:val="20"/>
      <w:szCs w:val="20"/>
    </w:rPr>
  </w:style>
  <w:style w:type="character" w:customStyle="1" w:styleId="af1">
    <w:name w:val="頁首 字元"/>
    <w:basedOn w:val="a0"/>
    <w:link w:val="af0"/>
    <w:uiPriority w:val="99"/>
    <w:semiHidden/>
    <w:rsid w:val="0093547B"/>
    <w:rPr>
      <w:sz w:val="20"/>
      <w:szCs w:val="20"/>
    </w:rPr>
  </w:style>
  <w:style w:type="paragraph" w:styleId="af2">
    <w:name w:val="footer"/>
    <w:basedOn w:val="a"/>
    <w:link w:val="af3"/>
    <w:uiPriority w:val="99"/>
    <w:semiHidden/>
    <w:unhideWhenUsed/>
    <w:rsid w:val="0093547B"/>
    <w:pPr>
      <w:tabs>
        <w:tab w:val="center" w:pos="4153"/>
        <w:tab w:val="right" w:pos="8306"/>
      </w:tabs>
      <w:snapToGrid w:val="0"/>
    </w:pPr>
    <w:rPr>
      <w:sz w:val="20"/>
      <w:szCs w:val="20"/>
    </w:rPr>
  </w:style>
  <w:style w:type="character" w:customStyle="1" w:styleId="af3">
    <w:name w:val="頁尾 字元"/>
    <w:basedOn w:val="a0"/>
    <w:link w:val="af2"/>
    <w:uiPriority w:val="99"/>
    <w:semiHidden/>
    <w:rsid w:val="0093547B"/>
    <w:rPr>
      <w:sz w:val="20"/>
      <w:szCs w:val="20"/>
    </w:rPr>
  </w:style>
  <w:style w:type="paragraph" w:styleId="af4">
    <w:name w:val="annotation subject"/>
    <w:basedOn w:val="ab"/>
    <w:next w:val="ab"/>
    <w:link w:val="af5"/>
    <w:uiPriority w:val="99"/>
    <w:semiHidden/>
    <w:unhideWhenUsed/>
    <w:rsid w:val="0093547B"/>
    <w:rPr>
      <w:b/>
      <w:bCs/>
    </w:rPr>
  </w:style>
  <w:style w:type="character" w:customStyle="1" w:styleId="af5">
    <w:name w:val="註解主旨 字元"/>
    <w:basedOn w:val="ac"/>
    <w:link w:val="af4"/>
    <w:uiPriority w:val="99"/>
    <w:semiHidden/>
    <w:rsid w:val="0093547B"/>
    <w:rPr>
      <w:b/>
      <w:bCs/>
    </w:rPr>
  </w:style>
  <w:style w:type="paragraph" w:styleId="af6">
    <w:name w:val="Revision"/>
    <w:hidden/>
    <w:uiPriority w:val="99"/>
    <w:semiHidden/>
    <w:rsid w:val="0009037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F9F72-1A0F-4B7B-94DD-204B419B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11456</TotalTime>
  <Pages>21</Pages>
  <Words>2200</Words>
  <Characters>12542</Characters>
  <Application>Microsoft Office Word</Application>
  <DocSecurity>0</DocSecurity>
  <Lines>104</Lines>
  <Paragraphs>29</Paragraphs>
  <ScaleCrop>false</ScaleCrop>
  <Company>HOME</Company>
  <LinksUpToDate>false</LinksUpToDate>
  <CharactersWithSpaces>14713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Even</cp:lastModifiedBy>
  <cp:revision>29</cp:revision>
  <dcterms:created xsi:type="dcterms:W3CDTF">2017-04-18T07:01:00Z</dcterms:created>
  <dcterms:modified xsi:type="dcterms:W3CDTF">2017-05-02T07:49:00Z</dcterms:modified>
</cp:coreProperties>
</file>