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01E" w:rsidRDefault="00A90C32" w:rsidP="00A90C32">
      <w:pPr>
        <w:pStyle w:val="NoSpacing"/>
      </w:pPr>
      <w:r>
        <w:t>Edward Venator</w:t>
      </w:r>
    </w:p>
    <w:p w:rsidR="00A90C32" w:rsidRDefault="00A90C32" w:rsidP="00A90C32">
      <w:pPr>
        <w:pStyle w:val="NoSpacing"/>
      </w:pPr>
      <w:r>
        <w:t xml:space="preserve">EECS 304 </w:t>
      </w:r>
      <w:proofErr w:type="gramStart"/>
      <w:r>
        <w:t>Spring</w:t>
      </w:r>
      <w:proofErr w:type="gramEnd"/>
      <w:r>
        <w:t xml:space="preserve"> 2012</w:t>
      </w:r>
    </w:p>
    <w:p w:rsidR="00A90C32" w:rsidRDefault="00A90C32" w:rsidP="00A90C32">
      <w:pPr>
        <w:pStyle w:val="NoSpacing"/>
      </w:pPr>
      <w:r>
        <w:t>Helicopter Competition Project Report</w:t>
      </w:r>
    </w:p>
    <w:p w:rsidR="00A90C32" w:rsidRDefault="00A90C32" w:rsidP="00A90C32">
      <w:pPr>
        <w:pStyle w:val="Heading2"/>
      </w:pPr>
      <w:r>
        <w:t>Solution</w:t>
      </w:r>
    </w:p>
    <w:p w:rsidR="00A90C32" w:rsidRPr="00F33F36" w:rsidRDefault="00A90C32" w:rsidP="00A90C32">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125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+50 s+35</m:t>
              </m:r>
            </m:num>
            <m:den>
              <m:f>
                <m:fPr>
                  <m:ctrlPr>
                    <w:rPr>
                      <w:rFonts w:ascii="Cambria Math" w:hAnsi="Cambria Math"/>
                      <w:i/>
                    </w:rPr>
                  </m:ctrlPr>
                </m:fPr>
                <m:num>
                  <m:r>
                    <w:rPr>
                      <w:rFonts w:ascii="Cambria Math" w:hAnsi="Cambria Math"/>
                    </w:rPr>
                    <m:t>1</m:t>
                  </m:r>
                </m:num>
                <m:den>
                  <m:r>
                    <w:rPr>
                      <w:rFonts w:ascii="Cambria Math" w:hAnsi="Cambria Math"/>
                    </w:rPr>
                    <m:t>90</m:t>
                  </m:r>
                </m:den>
              </m:f>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en>
          </m:f>
        </m:oMath>
      </m:oMathPara>
    </w:p>
    <w:p w:rsidR="00F33F36" w:rsidRPr="00F33F36" w:rsidRDefault="00F33F36" w:rsidP="00F33F36">
      <w:pPr>
        <w:pStyle w:val="NoSpacing"/>
        <w:rPr>
          <w:rFonts w:ascii="Consolas" w:hAnsi="Consolas" w:cs="Consolas"/>
        </w:rPr>
      </w:pPr>
      <w:proofErr w:type="spellStart"/>
      <w:proofErr w:type="gramStart"/>
      <w:r w:rsidRPr="00F33F36">
        <w:rPr>
          <w:rFonts w:ascii="Consolas" w:hAnsi="Consolas" w:cs="Consolas"/>
        </w:rPr>
        <w:t>numG</w:t>
      </w:r>
      <w:proofErr w:type="spellEnd"/>
      <w:proofErr w:type="gramEnd"/>
      <w:r w:rsidRPr="00F33F36">
        <w:rPr>
          <w:rFonts w:ascii="Consolas" w:hAnsi="Consolas" w:cs="Consolas"/>
        </w:rPr>
        <w:t xml:space="preserve"> = [125 50 35]</w:t>
      </w:r>
    </w:p>
    <w:p w:rsidR="00F33F36" w:rsidRPr="00F33F36" w:rsidRDefault="00F33F36" w:rsidP="00F33F36">
      <w:pPr>
        <w:pStyle w:val="NoSpacing"/>
        <w:rPr>
          <w:rFonts w:ascii="Consolas" w:hAnsi="Consolas" w:cs="Consolas"/>
        </w:rPr>
      </w:pPr>
      <w:proofErr w:type="spellStart"/>
      <w:proofErr w:type="gramStart"/>
      <w:r w:rsidRPr="00F33F36">
        <w:rPr>
          <w:rFonts w:ascii="Consolas" w:hAnsi="Consolas" w:cs="Consolas"/>
        </w:rPr>
        <w:t>denG</w:t>
      </w:r>
      <w:proofErr w:type="spellEnd"/>
      <w:proofErr w:type="gramEnd"/>
      <w:r w:rsidRPr="00F33F36">
        <w:rPr>
          <w:rFonts w:ascii="Consolas" w:hAnsi="Consolas" w:cs="Consolas"/>
        </w:rPr>
        <w:t xml:space="preserve"> = [(1/90) 1 0]</w:t>
      </w:r>
    </w:p>
    <w:p w:rsidR="00A90C32" w:rsidRDefault="00A90C32" w:rsidP="00A90C32">
      <w:pPr>
        <w:pStyle w:val="Heading2"/>
      </w:pPr>
      <w:r>
        <w:t>Methodology</w:t>
      </w:r>
    </w:p>
    <w:p w:rsidR="00323873" w:rsidRDefault="004100A4" w:rsidP="00A90C32">
      <w:r>
        <w:t xml:space="preserve">My approach to this problem was to use a PID controller combined with a low-pass filter. The PID controller provides the control signal, and the low-pass filter accounts for sensor noise and quantization effects by removing </w:t>
      </w:r>
      <w:r w:rsidR="00323873">
        <w:t>high frequencies from the error signal.</w:t>
      </w:r>
      <w:r w:rsidR="00B669CF">
        <w:t xml:space="preserve"> I chose not to implement a </w:t>
      </w:r>
      <w:proofErr w:type="spellStart"/>
      <w:r w:rsidR="00B669CF">
        <w:t>prefilter</w:t>
      </w:r>
      <w:proofErr w:type="spellEnd"/>
      <w:r w:rsidR="00B669CF">
        <w:t xml:space="preserve"> on the reference path, as I did not find it to have any appreciable effect on the results.</w:t>
      </w:r>
    </w:p>
    <w:p w:rsidR="00A90C32" w:rsidRDefault="00323873" w:rsidP="00A90C32">
      <w:r>
        <w:t xml:space="preserve">I could have approached this problem differently and used </w:t>
      </w:r>
      <w:proofErr w:type="gramStart"/>
      <w:r>
        <w:t>a different</w:t>
      </w:r>
      <w:proofErr w:type="gramEnd"/>
      <w:r>
        <w:t xml:space="preserve"> controller architecture, but I chose not to for a few reasons.</w:t>
      </w:r>
      <w:r>
        <w:t xml:space="preserve"> First, PID controllers are intuitively easy to understand. This makes them easy to tune quickly if an accurate simulation is available. Second, the PID controller is relatively robust with respect to inaccuracies in the simulation. More advanced techniques like pole-zero cancelation and use of notch filters to cancel the effects of system dynamics are highly dependent on accurate knowledge of the system characteristics. Since I have had no access to the system itself, I cannot verify that the simulation is accurate. Even if the simulation is accurate, it has several parameters</w:t>
      </w:r>
      <w:r w:rsidR="009243B1">
        <w:t xml:space="preserve"> that can vary. If, for example, the natural frequency of the system varies from 1.0 to 1.5 rad/sec, it would break any controller that attempts to cancel out the system dynamics. A PID controller can be tuned reasonably well, even if the system parameters change slightly.</w:t>
      </w:r>
    </w:p>
    <w:p w:rsidR="00323873" w:rsidRDefault="00323873" w:rsidP="00A90C32">
      <w:r>
        <w:t xml:space="preserve">After deciding on a PID controller, I began experimentally tuning the controller, validating my gains by testing them in the Simulink model. </w:t>
      </w:r>
    </w:p>
    <w:p w:rsidR="00A90C32" w:rsidRDefault="00A90C32" w:rsidP="00A90C32">
      <w:pPr>
        <w:pStyle w:val="Heading2"/>
      </w:pPr>
      <w:r>
        <w:t>Conclusions</w:t>
      </w:r>
    </w:p>
    <w:p w:rsidR="00A90C32" w:rsidRDefault="00323873" w:rsidP="00A90C32">
      <w:r>
        <w:t xml:space="preserve">Although my results are not perfect, I think they are </w:t>
      </w:r>
      <w:r w:rsidR="007E6806">
        <w:t>nearly as</w:t>
      </w:r>
      <w:r>
        <w:t xml:space="preserve"> good as can be expected from a PID controller. </w:t>
      </w:r>
      <w:r w:rsidR="007E6806">
        <w:t xml:space="preserve">If the parameters of the system were known perfectly, it would be possible to optimally tune the controller, and </w:t>
      </w:r>
      <w:proofErr w:type="spellStart"/>
      <w:r w:rsidR="007E6806">
        <w:t>rltool</w:t>
      </w:r>
      <w:proofErr w:type="spellEnd"/>
      <w:r w:rsidR="007E6806">
        <w:t xml:space="preserve"> has a function to do so. However, the optimally-tuned PID controller is operating right at the edge of stability. As a result, it is highly dependent on the accuracy of the system parameters. Varying the system parameters causes the optimally-tuned PID controller to go unstable. Given the range over which the parameters can </w:t>
      </w:r>
      <w:proofErr w:type="gramStart"/>
      <w:r w:rsidR="007E6806">
        <w:t>vary,</w:t>
      </w:r>
      <w:proofErr w:type="gramEnd"/>
      <w:r w:rsidR="007E6806">
        <w:t xml:space="preserve"> I am pleased with my controller.</w:t>
      </w:r>
    </w:p>
    <w:p w:rsidR="00BD6FBE" w:rsidRDefault="00BD6FBE">
      <w:r>
        <w:rPr>
          <w:noProof/>
        </w:rPr>
        <w:lastRenderedPageBreak/>
        <w:drawing>
          <wp:inline distT="0" distB="0" distL="0" distR="0" wp14:anchorId="5A489DF7" wp14:editId="09303038">
            <wp:extent cx="5943600" cy="1911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11985"/>
                    </a:xfrm>
                    <a:prstGeom prst="rect">
                      <a:avLst/>
                    </a:prstGeom>
                  </pic:spPr>
                </pic:pic>
              </a:graphicData>
            </a:graphic>
          </wp:inline>
        </w:drawing>
      </w:r>
    </w:p>
    <w:p w:rsidR="00BD6FBE" w:rsidRDefault="00BD6FBE" w:rsidP="00BD6FBE">
      <w:pPr>
        <w:jc w:val="center"/>
      </w:pPr>
      <w:r>
        <w:t>Figure 1: Worst case controller performance</w:t>
      </w:r>
    </w:p>
    <w:p w:rsidR="00BD6FBE" w:rsidRDefault="00BD6FBE" w:rsidP="00BD6FBE">
      <w:pPr>
        <w:jc w:val="center"/>
      </w:pPr>
      <w:r>
        <w:rPr>
          <w:noProof/>
        </w:rPr>
        <w:drawing>
          <wp:inline distT="0" distB="0" distL="0" distR="0" wp14:anchorId="685FA66C" wp14:editId="7994203E">
            <wp:extent cx="5943600" cy="1899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99920"/>
                    </a:xfrm>
                    <a:prstGeom prst="rect">
                      <a:avLst/>
                    </a:prstGeom>
                  </pic:spPr>
                </pic:pic>
              </a:graphicData>
            </a:graphic>
          </wp:inline>
        </w:drawing>
      </w:r>
    </w:p>
    <w:p w:rsidR="007E6806" w:rsidRDefault="00BD6FBE" w:rsidP="00BD6FBE">
      <w:pPr>
        <w:jc w:val="center"/>
        <w:rPr>
          <w:rFonts w:asciiTheme="majorHAnsi" w:eastAsiaTheme="majorEastAsia" w:hAnsiTheme="majorHAnsi" w:cstheme="majorBidi"/>
          <w:b/>
          <w:bCs/>
          <w:color w:val="4F81BD" w:themeColor="accent1"/>
          <w:sz w:val="26"/>
          <w:szCs w:val="26"/>
        </w:rPr>
      </w:pPr>
      <w:r>
        <w:t>Figure 2: Best case controller performance</w:t>
      </w:r>
      <w:bookmarkStart w:id="0" w:name="_GoBack"/>
      <w:bookmarkEnd w:id="0"/>
      <w:r w:rsidR="007E6806">
        <w:br w:type="page"/>
      </w:r>
    </w:p>
    <w:p w:rsidR="006E31BE" w:rsidRPr="00A90C32" w:rsidRDefault="006E31BE" w:rsidP="006E31BE">
      <w:pPr>
        <w:pStyle w:val="Heading2"/>
      </w:pPr>
      <w:r>
        <w:lastRenderedPageBreak/>
        <w:t>Appendix: Simulated Cost at Boundary Conditions</w:t>
      </w:r>
    </w:p>
    <w:tbl>
      <w:tblPr>
        <w:tblStyle w:val="TableGrid"/>
        <w:tblW w:w="9576" w:type="dxa"/>
        <w:tblLook w:val="04A0" w:firstRow="1" w:lastRow="0" w:firstColumn="1" w:lastColumn="0" w:noHBand="0" w:noVBand="1"/>
      </w:tblPr>
      <w:tblGrid>
        <w:gridCol w:w="1915"/>
        <w:gridCol w:w="1915"/>
        <w:gridCol w:w="1915"/>
        <w:gridCol w:w="1915"/>
        <w:gridCol w:w="1916"/>
      </w:tblGrid>
      <w:tr w:rsidR="00A90C32" w:rsidRPr="00A90C32" w:rsidTr="00A90C32">
        <w:tc>
          <w:tcPr>
            <w:tcW w:w="1915" w:type="dxa"/>
          </w:tcPr>
          <w:p w:rsidR="00A90C32" w:rsidRPr="00A90C32" w:rsidRDefault="00A90C32" w:rsidP="00102501">
            <w:pPr>
              <w:jc w:val="center"/>
              <w:rPr>
                <w:b/>
              </w:rPr>
            </w:pPr>
            <w:r w:rsidRPr="00A90C32">
              <w:rPr>
                <w:b/>
              </w:rPr>
              <w:t>T</w:t>
            </w:r>
          </w:p>
        </w:tc>
        <w:tc>
          <w:tcPr>
            <w:tcW w:w="1915" w:type="dxa"/>
          </w:tcPr>
          <w:p w:rsidR="00A90C32" w:rsidRPr="00A90C32" w:rsidRDefault="00A90C32" w:rsidP="00102501">
            <w:pPr>
              <w:jc w:val="center"/>
              <w:rPr>
                <w:b/>
                <w:vertAlign w:val="subscript"/>
              </w:rPr>
            </w:pPr>
            <w:proofErr w:type="spellStart"/>
            <w:r w:rsidRPr="00A90C32">
              <w:rPr>
                <w:rFonts w:cstheme="minorHAnsi"/>
                <w:b/>
              </w:rPr>
              <w:t>ω</w:t>
            </w:r>
            <w:r w:rsidRPr="00A90C32">
              <w:rPr>
                <w:b/>
                <w:vertAlign w:val="subscript"/>
              </w:rPr>
              <w:t>n</w:t>
            </w:r>
            <w:proofErr w:type="spellEnd"/>
          </w:p>
        </w:tc>
        <w:tc>
          <w:tcPr>
            <w:tcW w:w="1915" w:type="dxa"/>
          </w:tcPr>
          <w:p w:rsidR="00A90C32" w:rsidRPr="00A90C32" w:rsidRDefault="00A90C32" w:rsidP="00102501">
            <w:pPr>
              <w:jc w:val="center"/>
              <w:rPr>
                <w:b/>
              </w:rPr>
            </w:pPr>
            <w:r w:rsidRPr="00A90C32">
              <w:rPr>
                <w:rFonts w:cstheme="minorHAnsi"/>
                <w:b/>
              </w:rPr>
              <w:t>ζ</w:t>
            </w:r>
          </w:p>
        </w:tc>
        <w:tc>
          <w:tcPr>
            <w:tcW w:w="1915" w:type="dxa"/>
          </w:tcPr>
          <w:p w:rsidR="00A90C32" w:rsidRPr="00A90C32" w:rsidRDefault="00A90C32" w:rsidP="00102501">
            <w:pPr>
              <w:jc w:val="center"/>
              <w:rPr>
                <w:b/>
              </w:rPr>
            </w:pPr>
            <w:r w:rsidRPr="00A90C32">
              <w:rPr>
                <w:b/>
              </w:rPr>
              <w:t>k</w:t>
            </w:r>
          </w:p>
        </w:tc>
        <w:tc>
          <w:tcPr>
            <w:tcW w:w="1916" w:type="dxa"/>
          </w:tcPr>
          <w:p w:rsidR="00A90C32" w:rsidRPr="00A90C32" w:rsidRDefault="00A90C32" w:rsidP="00102501">
            <w:pPr>
              <w:jc w:val="center"/>
              <w:rPr>
                <w:b/>
              </w:rPr>
            </w:pPr>
            <w:r w:rsidRPr="00A90C32">
              <w:rPr>
                <w:b/>
              </w:rPr>
              <w:t>J</w:t>
            </w:r>
          </w:p>
        </w:tc>
      </w:tr>
      <w:tr w:rsidR="00A468F6" w:rsidTr="00A90C32">
        <w:tc>
          <w:tcPr>
            <w:tcW w:w="1915" w:type="dxa"/>
            <w:shd w:val="clear" w:color="auto" w:fill="D9D9D9" w:themeFill="background1" w:themeFillShade="D9"/>
          </w:tcPr>
          <w:p w:rsidR="00A468F6" w:rsidRDefault="00A468F6" w:rsidP="0094009B">
            <w:pPr>
              <w:jc w:val="right"/>
            </w:pPr>
            <w:r>
              <w:t>.09</w:t>
            </w:r>
          </w:p>
        </w:tc>
        <w:tc>
          <w:tcPr>
            <w:tcW w:w="1915" w:type="dxa"/>
            <w:shd w:val="clear" w:color="auto" w:fill="D9D9D9" w:themeFill="background1" w:themeFillShade="D9"/>
          </w:tcPr>
          <w:p w:rsidR="00A468F6" w:rsidRDefault="00A468F6" w:rsidP="0094009B">
            <w:pPr>
              <w:jc w:val="right"/>
            </w:pPr>
            <w:r>
              <w:t>1.0</w:t>
            </w:r>
          </w:p>
        </w:tc>
        <w:tc>
          <w:tcPr>
            <w:tcW w:w="1915" w:type="dxa"/>
            <w:shd w:val="clear" w:color="auto" w:fill="D9D9D9" w:themeFill="background1" w:themeFillShade="D9"/>
          </w:tcPr>
          <w:p w:rsidR="00A468F6" w:rsidRDefault="00A468F6" w:rsidP="0094009B">
            <w:pPr>
              <w:jc w:val="right"/>
            </w:pPr>
            <w:r>
              <w:t>.03</w:t>
            </w:r>
          </w:p>
        </w:tc>
        <w:tc>
          <w:tcPr>
            <w:tcW w:w="1915" w:type="dxa"/>
            <w:shd w:val="clear" w:color="auto" w:fill="D9D9D9" w:themeFill="background1" w:themeFillShade="D9"/>
          </w:tcPr>
          <w:p w:rsidR="00A468F6" w:rsidRDefault="00A468F6" w:rsidP="00A90C32">
            <w:pPr>
              <w:jc w:val="right"/>
            </w:pPr>
            <w:r>
              <w:t>.1</w:t>
            </w:r>
          </w:p>
        </w:tc>
        <w:tc>
          <w:tcPr>
            <w:tcW w:w="1916" w:type="dxa"/>
            <w:shd w:val="clear" w:color="auto" w:fill="D9D9D9" w:themeFill="background1" w:themeFillShade="D9"/>
          </w:tcPr>
          <w:p w:rsidR="00A468F6" w:rsidRPr="00A96C5B" w:rsidRDefault="00A468F6" w:rsidP="00A468F6">
            <w:pPr>
              <w:jc w:val="right"/>
            </w:pPr>
            <w:r w:rsidRPr="00A96C5B">
              <w:t xml:space="preserve">    3.4049</w:t>
            </w:r>
          </w:p>
        </w:tc>
      </w:tr>
      <w:tr w:rsidR="00A468F6" w:rsidTr="00A90C32">
        <w:tc>
          <w:tcPr>
            <w:tcW w:w="1915" w:type="dxa"/>
          </w:tcPr>
          <w:p w:rsidR="00A468F6" w:rsidRDefault="00A468F6" w:rsidP="0094009B">
            <w:pPr>
              <w:jc w:val="right"/>
            </w:pPr>
            <w:r w:rsidRPr="00D11901">
              <w:t>.09</w:t>
            </w:r>
          </w:p>
        </w:tc>
        <w:tc>
          <w:tcPr>
            <w:tcW w:w="1915" w:type="dxa"/>
          </w:tcPr>
          <w:p w:rsidR="00A468F6" w:rsidRDefault="00A468F6" w:rsidP="0094009B">
            <w:pPr>
              <w:jc w:val="right"/>
            </w:pPr>
            <w:r>
              <w:t>1.0</w:t>
            </w:r>
          </w:p>
        </w:tc>
        <w:tc>
          <w:tcPr>
            <w:tcW w:w="1915" w:type="dxa"/>
          </w:tcPr>
          <w:p w:rsidR="00A468F6" w:rsidRDefault="00A468F6" w:rsidP="0094009B">
            <w:pPr>
              <w:jc w:val="right"/>
            </w:pPr>
            <w:r>
              <w:t>.03</w:t>
            </w:r>
          </w:p>
        </w:tc>
        <w:tc>
          <w:tcPr>
            <w:tcW w:w="1915" w:type="dxa"/>
          </w:tcPr>
          <w:p w:rsidR="00A468F6" w:rsidRDefault="00A468F6" w:rsidP="00A90C32">
            <w:pPr>
              <w:jc w:val="right"/>
            </w:pPr>
            <w:r>
              <w:t>.15</w:t>
            </w:r>
          </w:p>
        </w:tc>
        <w:tc>
          <w:tcPr>
            <w:tcW w:w="1916" w:type="dxa"/>
          </w:tcPr>
          <w:p w:rsidR="00A468F6" w:rsidRPr="00A96C5B" w:rsidRDefault="00A468F6" w:rsidP="00A468F6">
            <w:pPr>
              <w:jc w:val="right"/>
            </w:pPr>
            <w:r w:rsidRPr="00A96C5B">
              <w:t xml:space="preserve">    3.9813</w:t>
            </w:r>
          </w:p>
        </w:tc>
      </w:tr>
      <w:tr w:rsidR="00A468F6" w:rsidTr="00A90C32">
        <w:tc>
          <w:tcPr>
            <w:tcW w:w="1915" w:type="dxa"/>
            <w:shd w:val="clear" w:color="auto" w:fill="D9D9D9" w:themeFill="background1" w:themeFillShade="D9"/>
          </w:tcPr>
          <w:p w:rsidR="00A468F6" w:rsidRDefault="00A468F6" w:rsidP="0094009B">
            <w:pPr>
              <w:jc w:val="right"/>
            </w:pPr>
            <w:r w:rsidRPr="00D11901">
              <w:t>.09</w:t>
            </w:r>
          </w:p>
        </w:tc>
        <w:tc>
          <w:tcPr>
            <w:tcW w:w="1915" w:type="dxa"/>
            <w:shd w:val="clear" w:color="auto" w:fill="D9D9D9" w:themeFill="background1" w:themeFillShade="D9"/>
          </w:tcPr>
          <w:p w:rsidR="00A468F6" w:rsidRDefault="00A468F6" w:rsidP="0094009B">
            <w:pPr>
              <w:jc w:val="right"/>
            </w:pPr>
            <w:r>
              <w:t>1.0</w:t>
            </w:r>
          </w:p>
        </w:tc>
        <w:tc>
          <w:tcPr>
            <w:tcW w:w="1915" w:type="dxa"/>
            <w:shd w:val="clear" w:color="auto" w:fill="D9D9D9" w:themeFill="background1" w:themeFillShade="D9"/>
          </w:tcPr>
          <w:p w:rsidR="00A468F6" w:rsidRDefault="00A468F6" w:rsidP="0094009B">
            <w:pPr>
              <w:jc w:val="right"/>
            </w:pPr>
            <w:r>
              <w:t>.05</w:t>
            </w:r>
          </w:p>
        </w:tc>
        <w:tc>
          <w:tcPr>
            <w:tcW w:w="1915" w:type="dxa"/>
            <w:shd w:val="clear" w:color="auto" w:fill="D9D9D9" w:themeFill="background1" w:themeFillShade="D9"/>
          </w:tcPr>
          <w:p w:rsidR="00A468F6" w:rsidRDefault="00A468F6" w:rsidP="00A90C32">
            <w:pPr>
              <w:jc w:val="right"/>
            </w:pPr>
            <w:r>
              <w:t>.1</w:t>
            </w:r>
          </w:p>
        </w:tc>
        <w:tc>
          <w:tcPr>
            <w:tcW w:w="1916" w:type="dxa"/>
            <w:shd w:val="clear" w:color="auto" w:fill="D9D9D9" w:themeFill="background1" w:themeFillShade="D9"/>
          </w:tcPr>
          <w:p w:rsidR="00A468F6" w:rsidRPr="00A96C5B" w:rsidRDefault="00A468F6" w:rsidP="00A468F6">
            <w:pPr>
              <w:jc w:val="right"/>
            </w:pPr>
            <w:r w:rsidRPr="00A96C5B">
              <w:t xml:space="preserve">    3.3939</w:t>
            </w:r>
          </w:p>
        </w:tc>
      </w:tr>
      <w:tr w:rsidR="00A468F6" w:rsidTr="00A90C32">
        <w:tc>
          <w:tcPr>
            <w:tcW w:w="1915" w:type="dxa"/>
          </w:tcPr>
          <w:p w:rsidR="00A468F6" w:rsidRDefault="00A468F6" w:rsidP="0094009B">
            <w:pPr>
              <w:jc w:val="right"/>
            </w:pPr>
            <w:r w:rsidRPr="00D11901">
              <w:t>.09</w:t>
            </w:r>
          </w:p>
        </w:tc>
        <w:tc>
          <w:tcPr>
            <w:tcW w:w="1915" w:type="dxa"/>
          </w:tcPr>
          <w:p w:rsidR="00A468F6" w:rsidRDefault="00A468F6" w:rsidP="0094009B">
            <w:pPr>
              <w:jc w:val="right"/>
            </w:pPr>
            <w:r>
              <w:t>1.0</w:t>
            </w:r>
          </w:p>
        </w:tc>
        <w:tc>
          <w:tcPr>
            <w:tcW w:w="1915" w:type="dxa"/>
          </w:tcPr>
          <w:p w:rsidR="00A468F6" w:rsidRDefault="00A468F6" w:rsidP="0094009B">
            <w:pPr>
              <w:jc w:val="right"/>
            </w:pPr>
            <w:r>
              <w:t>.05</w:t>
            </w:r>
          </w:p>
        </w:tc>
        <w:tc>
          <w:tcPr>
            <w:tcW w:w="1915" w:type="dxa"/>
          </w:tcPr>
          <w:p w:rsidR="00A468F6" w:rsidRDefault="00A468F6" w:rsidP="00A90C32">
            <w:pPr>
              <w:jc w:val="right"/>
            </w:pPr>
            <w:r>
              <w:t>.15</w:t>
            </w:r>
          </w:p>
        </w:tc>
        <w:tc>
          <w:tcPr>
            <w:tcW w:w="1916" w:type="dxa"/>
          </w:tcPr>
          <w:p w:rsidR="00A468F6" w:rsidRPr="00A96C5B" w:rsidRDefault="00A468F6" w:rsidP="00A468F6">
            <w:pPr>
              <w:jc w:val="right"/>
            </w:pPr>
            <w:r w:rsidRPr="00A96C5B">
              <w:t xml:space="preserve">    3.9247</w:t>
            </w:r>
          </w:p>
        </w:tc>
      </w:tr>
      <w:tr w:rsidR="00A468F6" w:rsidTr="00A90C32">
        <w:tc>
          <w:tcPr>
            <w:tcW w:w="1915" w:type="dxa"/>
            <w:shd w:val="clear" w:color="auto" w:fill="D9D9D9" w:themeFill="background1" w:themeFillShade="D9"/>
          </w:tcPr>
          <w:p w:rsidR="00A468F6" w:rsidRDefault="00A468F6" w:rsidP="0094009B">
            <w:pPr>
              <w:jc w:val="right"/>
            </w:pPr>
            <w:r w:rsidRPr="00D11901">
              <w:t>.09</w:t>
            </w:r>
          </w:p>
        </w:tc>
        <w:tc>
          <w:tcPr>
            <w:tcW w:w="1915" w:type="dxa"/>
            <w:shd w:val="clear" w:color="auto" w:fill="D9D9D9" w:themeFill="background1" w:themeFillShade="D9"/>
          </w:tcPr>
          <w:p w:rsidR="00A468F6" w:rsidRDefault="00A468F6" w:rsidP="0094009B">
            <w:pPr>
              <w:jc w:val="right"/>
            </w:pPr>
            <w:r>
              <w:t>1.5</w:t>
            </w:r>
          </w:p>
        </w:tc>
        <w:tc>
          <w:tcPr>
            <w:tcW w:w="1915" w:type="dxa"/>
            <w:shd w:val="clear" w:color="auto" w:fill="D9D9D9" w:themeFill="background1" w:themeFillShade="D9"/>
          </w:tcPr>
          <w:p w:rsidR="00A468F6" w:rsidRDefault="00A468F6" w:rsidP="0094009B">
            <w:pPr>
              <w:jc w:val="right"/>
            </w:pPr>
            <w:r>
              <w:t>.03</w:t>
            </w:r>
          </w:p>
        </w:tc>
        <w:tc>
          <w:tcPr>
            <w:tcW w:w="1915" w:type="dxa"/>
            <w:shd w:val="clear" w:color="auto" w:fill="D9D9D9" w:themeFill="background1" w:themeFillShade="D9"/>
          </w:tcPr>
          <w:p w:rsidR="00A468F6" w:rsidRDefault="00A468F6" w:rsidP="00A90C32">
            <w:pPr>
              <w:jc w:val="right"/>
            </w:pPr>
            <w:r>
              <w:t>.1</w:t>
            </w:r>
          </w:p>
        </w:tc>
        <w:tc>
          <w:tcPr>
            <w:tcW w:w="1916" w:type="dxa"/>
            <w:shd w:val="clear" w:color="auto" w:fill="D9D9D9" w:themeFill="background1" w:themeFillShade="D9"/>
          </w:tcPr>
          <w:p w:rsidR="00A468F6" w:rsidRPr="00A96C5B" w:rsidRDefault="00A468F6" w:rsidP="00A468F6">
            <w:pPr>
              <w:jc w:val="right"/>
            </w:pPr>
            <w:r w:rsidRPr="00A96C5B">
              <w:t xml:space="preserve">    5.2782</w:t>
            </w:r>
          </w:p>
        </w:tc>
      </w:tr>
      <w:tr w:rsidR="00A468F6" w:rsidTr="00A90C32">
        <w:tc>
          <w:tcPr>
            <w:tcW w:w="1915" w:type="dxa"/>
          </w:tcPr>
          <w:p w:rsidR="00A468F6" w:rsidRDefault="00A468F6" w:rsidP="0094009B">
            <w:pPr>
              <w:jc w:val="right"/>
            </w:pPr>
            <w:r w:rsidRPr="00D11901">
              <w:t>.09</w:t>
            </w:r>
          </w:p>
        </w:tc>
        <w:tc>
          <w:tcPr>
            <w:tcW w:w="1915" w:type="dxa"/>
          </w:tcPr>
          <w:p w:rsidR="00A468F6" w:rsidRDefault="00A468F6" w:rsidP="0094009B">
            <w:pPr>
              <w:jc w:val="right"/>
            </w:pPr>
            <w:r>
              <w:t>1.5</w:t>
            </w:r>
          </w:p>
        </w:tc>
        <w:tc>
          <w:tcPr>
            <w:tcW w:w="1915" w:type="dxa"/>
          </w:tcPr>
          <w:p w:rsidR="00A468F6" w:rsidRDefault="00A468F6" w:rsidP="0094009B">
            <w:pPr>
              <w:jc w:val="right"/>
            </w:pPr>
            <w:r>
              <w:t>.03</w:t>
            </w:r>
          </w:p>
        </w:tc>
        <w:tc>
          <w:tcPr>
            <w:tcW w:w="1915" w:type="dxa"/>
          </w:tcPr>
          <w:p w:rsidR="00A468F6" w:rsidRDefault="00A468F6" w:rsidP="00A90C32">
            <w:pPr>
              <w:jc w:val="right"/>
            </w:pPr>
            <w:r>
              <w:t>.15</w:t>
            </w:r>
          </w:p>
        </w:tc>
        <w:tc>
          <w:tcPr>
            <w:tcW w:w="1916" w:type="dxa"/>
          </w:tcPr>
          <w:p w:rsidR="00A468F6" w:rsidRPr="00A96C5B" w:rsidRDefault="00A468F6" w:rsidP="00A468F6">
            <w:pPr>
              <w:jc w:val="right"/>
            </w:pPr>
            <w:r w:rsidRPr="00A96C5B">
              <w:t xml:space="preserve">    8.2649</w:t>
            </w:r>
          </w:p>
        </w:tc>
      </w:tr>
      <w:tr w:rsidR="00A468F6" w:rsidTr="00A90C32">
        <w:tc>
          <w:tcPr>
            <w:tcW w:w="1915" w:type="dxa"/>
            <w:shd w:val="clear" w:color="auto" w:fill="D9D9D9" w:themeFill="background1" w:themeFillShade="D9"/>
          </w:tcPr>
          <w:p w:rsidR="00A468F6" w:rsidRDefault="00A468F6" w:rsidP="0094009B">
            <w:pPr>
              <w:jc w:val="right"/>
            </w:pPr>
            <w:r w:rsidRPr="00D11901">
              <w:t>.09</w:t>
            </w:r>
          </w:p>
        </w:tc>
        <w:tc>
          <w:tcPr>
            <w:tcW w:w="1915" w:type="dxa"/>
            <w:shd w:val="clear" w:color="auto" w:fill="D9D9D9" w:themeFill="background1" w:themeFillShade="D9"/>
          </w:tcPr>
          <w:p w:rsidR="00A468F6" w:rsidRDefault="00A468F6" w:rsidP="0094009B">
            <w:pPr>
              <w:jc w:val="right"/>
            </w:pPr>
            <w:r>
              <w:t>1.5</w:t>
            </w:r>
          </w:p>
        </w:tc>
        <w:tc>
          <w:tcPr>
            <w:tcW w:w="1915" w:type="dxa"/>
            <w:shd w:val="clear" w:color="auto" w:fill="D9D9D9" w:themeFill="background1" w:themeFillShade="D9"/>
          </w:tcPr>
          <w:p w:rsidR="00A468F6" w:rsidRDefault="00A468F6" w:rsidP="0094009B">
            <w:pPr>
              <w:jc w:val="right"/>
            </w:pPr>
            <w:r>
              <w:t>.05</w:t>
            </w:r>
          </w:p>
        </w:tc>
        <w:tc>
          <w:tcPr>
            <w:tcW w:w="1915" w:type="dxa"/>
            <w:shd w:val="clear" w:color="auto" w:fill="D9D9D9" w:themeFill="background1" w:themeFillShade="D9"/>
          </w:tcPr>
          <w:p w:rsidR="00A468F6" w:rsidRDefault="00A468F6" w:rsidP="00A90C32">
            <w:pPr>
              <w:jc w:val="right"/>
            </w:pPr>
            <w:r>
              <w:t>.1</w:t>
            </w:r>
          </w:p>
        </w:tc>
        <w:tc>
          <w:tcPr>
            <w:tcW w:w="1916" w:type="dxa"/>
            <w:shd w:val="clear" w:color="auto" w:fill="D9D9D9" w:themeFill="background1" w:themeFillShade="D9"/>
          </w:tcPr>
          <w:p w:rsidR="00A468F6" w:rsidRPr="00A96C5B" w:rsidRDefault="00A468F6" w:rsidP="00A468F6">
            <w:pPr>
              <w:jc w:val="right"/>
            </w:pPr>
            <w:r w:rsidRPr="00A96C5B">
              <w:t xml:space="preserve">    5.4248</w:t>
            </w:r>
          </w:p>
        </w:tc>
      </w:tr>
      <w:tr w:rsidR="00A468F6" w:rsidRPr="004C411C" w:rsidTr="00A90C32">
        <w:tc>
          <w:tcPr>
            <w:tcW w:w="1915" w:type="dxa"/>
          </w:tcPr>
          <w:p w:rsidR="00A468F6" w:rsidRDefault="00A468F6" w:rsidP="0094009B">
            <w:pPr>
              <w:jc w:val="right"/>
            </w:pPr>
            <w:r w:rsidRPr="00D11901">
              <w:t>.09</w:t>
            </w:r>
          </w:p>
        </w:tc>
        <w:tc>
          <w:tcPr>
            <w:tcW w:w="1915" w:type="dxa"/>
          </w:tcPr>
          <w:p w:rsidR="00A468F6" w:rsidRDefault="00A468F6" w:rsidP="0094009B">
            <w:pPr>
              <w:jc w:val="right"/>
            </w:pPr>
            <w:r>
              <w:t>1.5</w:t>
            </w:r>
          </w:p>
        </w:tc>
        <w:tc>
          <w:tcPr>
            <w:tcW w:w="1915" w:type="dxa"/>
          </w:tcPr>
          <w:p w:rsidR="00A468F6" w:rsidRDefault="00A468F6" w:rsidP="0094009B">
            <w:pPr>
              <w:jc w:val="right"/>
            </w:pPr>
            <w:r>
              <w:t>.05</w:t>
            </w:r>
          </w:p>
        </w:tc>
        <w:tc>
          <w:tcPr>
            <w:tcW w:w="1915" w:type="dxa"/>
          </w:tcPr>
          <w:p w:rsidR="00A468F6" w:rsidRDefault="00A468F6" w:rsidP="00A90C32">
            <w:pPr>
              <w:jc w:val="right"/>
            </w:pPr>
            <w:r>
              <w:t>.15</w:t>
            </w:r>
          </w:p>
        </w:tc>
        <w:tc>
          <w:tcPr>
            <w:tcW w:w="1916" w:type="dxa"/>
          </w:tcPr>
          <w:p w:rsidR="00A468F6" w:rsidRPr="00A96C5B" w:rsidRDefault="00A468F6" w:rsidP="00A468F6">
            <w:pPr>
              <w:jc w:val="right"/>
            </w:pPr>
            <w:r w:rsidRPr="00A96C5B">
              <w:t xml:space="preserve">    7.0073</w:t>
            </w:r>
          </w:p>
        </w:tc>
      </w:tr>
      <w:tr w:rsidR="00A468F6" w:rsidTr="00A90C32">
        <w:tc>
          <w:tcPr>
            <w:tcW w:w="1915" w:type="dxa"/>
            <w:shd w:val="clear" w:color="auto" w:fill="D9D9D9" w:themeFill="background1" w:themeFillShade="D9"/>
          </w:tcPr>
          <w:p w:rsidR="00A468F6" w:rsidRDefault="00A468F6" w:rsidP="0094009B">
            <w:pPr>
              <w:jc w:val="right"/>
            </w:pPr>
            <w:r w:rsidRPr="00C15C21">
              <w:t>.11</w:t>
            </w:r>
          </w:p>
        </w:tc>
        <w:tc>
          <w:tcPr>
            <w:tcW w:w="1915" w:type="dxa"/>
            <w:shd w:val="clear" w:color="auto" w:fill="D9D9D9" w:themeFill="background1" w:themeFillShade="D9"/>
          </w:tcPr>
          <w:p w:rsidR="00A468F6" w:rsidRDefault="00A468F6" w:rsidP="0094009B">
            <w:pPr>
              <w:jc w:val="right"/>
            </w:pPr>
            <w:r>
              <w:t>1.0</w:t>
            </w:r>
          </w:p>
        </w:tc>
        <w:tc>
          <w:tcPr>
            <w:tcW w:w="1915" w:type="dxa"/>
            <w:shd w:val="clear" w:color="auto" w:fill="D9D9D9" w:themeFill="background1" w:themeFillShade="D9"/>
          </w:tcPr>
          <w:p w:rsidR="00A468F6" w:rsidRDefault="00A468F6" w:rsidP="0094009B">
            <w:pPr>
              <w:jc w:val="right"/>
            </w:pPr>
            <w:r>
              <w:t>.03</w:t>
            </w:r>
          </w:p>
        </w:tc>
        <w:tc>
          <w:tcPr>
            <w:tcW w:w="1915" w:type="dxa"/>
            <w:shd w:val="clear" w:color="auto" w:fill="D9D9D9" w:themeFill="background1" w:themeFillShade="D9"/>
          </w:tcPr>
          <w:p w:rsidR="00A468F6" w:rsidRDefault="00A468F6" w:rsidP="00A90C32">
            <w:pPr>
              <w:jc w:val="right"/>
            </w:pPr>
            <w:r>
              <w:t>.1</w:t>
            </w:r>
          </w:p>
        </w:tc>
        <w:tc>
          <w:tcPr>
            <w:tcW w:w="1916" w:type="dxa"/>
            <w:shd w:val="clear" w:color="auto" w:fill="D9D9D9" w:themeFill="background1" w:themeFillShade="D9"/>
          </w:tcPr>
          <w:p w:rsidR="00A468F6" w:rsidRPr="00A96C5B" w:rsidRDefault="00A468F6" w:rsidP="00A468F6">
            <w:pPr>
              <w:jc w:val="right"/>
            </w:pPr>
            <w:r w:rsidRPr="00A96C5B">
              <w:t xml:space="preserve">    3.4804</w:t>
            </w:r>
          </w:p>
        </w:tc>
      </w:tr>
      <w:tr w:rsidR="00A468F6" w:rsidTr="00A90C32">
        <w:tc>
          <w:tcPr>
            <w:tcW w:w="1915" w:type="dxa"/>
          </w:tcPr>
          <w:p w:rsidR="00A468F6" w:rsidRDefault="00A468F6" w:rsidP="0094009B">
            <w:pPr>
              <w:jc w:val="right"/>
            </w:pPr>
            <w:r w:rsidRPr="00C15C21">
              <w:t>.11</w:t>
            </w:r>
          </w:p>
        </w:tc>
        <w:tc>
          <w:tcPr>
            <w:tcW w:w="1915" w:type="dxa"/>
          </w:tcPr>
          <w:p w:rsidR="00A468F6" w:rsidRDefault="00A468F6" w:rsidP="0094009B">
            <w:pPr>
              <w:jc w:val="right"/>
            </w:pPr>
            <w:r>
              <w:t>1.0</w:t>
            </w:r>
          </w:p>
        </w:tc>
        <w:tc>
          <w:tcPr>
            <w:tcW w:w="1915" w:type="dxa"/>
          </w:tcPr>
          <w:p w:rsidR="00A468F6" w:rsidRDefault="00A468F6" w:rsidP="0094009B">
            <w:pPr>
              <w:jc w:val="right"/>
            </w:pPr>
            <w:r>
              <w:t>.03</w:t>
            </w:r>
          </w:p>
        </w:tc>
        <w:tc>
          <w:tcPr>
            <w:tcW w:w="1915" w:type="dxa"/>
          </w:tcPr>
          <w:p w:rsidR="00A468F6" w:rsidRDefault="00A468F6" w:rsidP="00A90C32">
            <w:pPr>
              <w:jc w:val="right"/>
            </w:pPr>
            <w:r>
              <w:t>.15</w:t>
            </w:r>
          </w:p>
        </w:tc>
        <w:tc>
          <w:tcPr>
            <w:tcW w:w="1916" w:type="dxa"/>
          </w:tcPr>
          <w:p w:rsidR="00A468F6" w:rsidRPr="00A96C5B" w:rsidRDefault="00A468F6" w:rsidP="00A468F6">
            <w:pPr>
              <w:jc w:val="right"/>
            </w:pPr>
            <w:r w:rsidRPr="00A96C5B">
              <w:t xml:space="preserve">    4.7634</w:t>
            </w:r>
          </w:p>
        </w:tc>
      </w:tr>
      <w:tr w:rsidR="00A468F6" w:rsidTr="00A90C32">
        <w:tc>
          <w:tcPr>
            <w:tcW w:w="1915" w:type="dxa"/>
            <w:shd w:val="clear" w:color="auto" w:fill="D9D9D9" w:themeFill="background1" w:themeFillShade="D9"/>
          </w:tcPr>
          <w:p w:rsidR="00A468F6" w:rsidRDefault="00A468F6" w:rsidP="0094009B">
            <w:pPr>
              <w:jc w:val="right"/>
            </w:pPr>
            <w:r w:rsidRPr="00C15C21">
              <w:t>.11</w:t>
            </w:r>
          </w:p>
        </w:tc>
        <w:tc>
          <w:tcPr>
            <w:tcW w:w="1915" w:type="dxa"/>
            <w:shd w:val="clear" w:color="auto" w:fill="D9D9D9" w:themeFill="background1" w:themeFillShade="D9"/>
          </w:tcPr>
          <w:p w:rsidR="00A468F6" w:rsidRDefault="00A468F6" w:rsidP="0094009B">
            <w:pPr>
              <w:jc w:val="right"/>
            </w:pPr>
            <w:r>
              <w:t>1.0</w:t>
            </w:r>
          </w:p>
        </w:tc>
        <w:tc>
          <w:tcPr>
            <w:tcW w:w="1915" w:type="dxa"/>
            <w:shd w:val="clear" w:color="auto" w:fill="D9D9D9" w:themeFill="background1" w:themeFillShade="D9"/>
          </w:tcPr>
          <w:p w:rsidR="00A468F6" w:rsidRDefault="00A468F6" w:rsidP="0094009B">
            <w:pPr>
              <w:jc w:val="right"/>
            </w:pPr>
            <w:r>
              <w:t>.05</w:t>
            </w:r>
          </w:p>
        </w:tc>
        <w:tc>
          <w:tcPr>
            <w:tcW w:w="1915" w:type="dxa"/>
            <w:shd w:val="clear" w:color="auto" w:fill="D9D9D9" w:themeFill="background1" w:themeFillShade="D9"/>
          </w:tcPr>
          <w:p w:rsidR="00A468F6" w:rsidRDefault="00A468F6" w:rsidP="00A90C32">
            <w:pPr>
              <w:jc w:val="right"/>
            </w:pPr>
            <w:r>
              <w:t>.1</w:t>
            </w:r>
          </w:p>
        </w:tc>
        <w:tc>
          <w:tcPr>
            <w:tcW w:w="1916" w:type="dxa"/>
            <w:shd w:val="clear" w:color="auto" w:fill="D9D9D9" w:themeFill="background1" w:themeFillShade="D9"/>
          </w:tcPr>
          <w:p w:rsidR="00A468F6" w:rsidRPr="00A96C5B" w:rsidRDefault="00A468F6" w:rsidP="00A468F6">
            <w:pPr>
              <w:jc w:val="right"/>
            </w:pPr>
            <w:r w:rsidRPr="00A96C5B">
              <w:t xml:space="preserve">    3.5423</w:t>
            </w:r>
          </w:p>
        </w:tc>
      </w:tr>
      <w:tr w:rsidR="00A468F6" w:rsidTr="00A90C32">
        <w:tc>
          <w:tcPr>
            <w:tcW w:w="1915" w:type="dxa"/>
          </w:tcPr>
          <w:p w:rsidR="00A468F6" w:rsidRDefault="00A468F6" w:rsidP="0094009B">
            <w:pPr>
              <w:jc w:val="right"/>
            </w:pPr>
            <w:r w:rsidRPr="00C15C21">
              <w:t>.11</w:t>
            </w:r>
          </w:p>
        </w:tc>
        <w:tc>
          <w:tcPr>
            <w:tcW w:w="1915" w:type="dxa"/>
          </w:tcPr>
          <w:p w:rsidR="00A468F6" w:rsidRDefault="00A468F6" w:rsidP="0094009B">
            <w:pPr>
              <w:jc w:val="right"/>
            </w:pPr>
            <w:r>
              <w:t>1.0</w:t>
            </w:r>
          </w:p>
        </w:tc>
        <w:tc>
          <w:tcPr>
            <w:tcW w:w="1915" w:type="dxa"/>
          </w:tcPr>
          <w:p w:rsidR="00A468F6" w:rsidRDefault="00A468F6" w:rsidP="0094009B">
            <w:pPr>
              <w:jc w:val="right"/>
            </w:pPr>
            <w:r>
              <w:t>.05</w:t>
            </w:r>
          </w:p>
        </w:tc>
        <w:tc>
          <w:tcPr>
            <w:tcW w:w="1915" w:type="dxa"/>
          </w:tcPr>
          <w:p w:rsidR="00A468F6" w:rsidRDefault="00A468F6" w:rsidP="00A90C32">
            <w:pPr>
              <w:jc w:val="right"/>
            </w:pPr>
            <w:r>
              <w:t>.15</w:t>
            </w:r>
          </w:p>
        </w:tc>
        <w:tc>
          <w:tcPr>
            <w:tcW w:w="1916" w:type="dxa"/>
          </w:tcPr>
          <w:p w:rsidR="00A468F6" w:rsidRPr="00A96C5B" w:rsidRDefault="00A468F6" w:rsidP="00A468F6">
            <w:pPr>
              <w:jc w:val="right"/>
            </w:pPr>
            <w:r w:rsidRPr="00A96C5B">
              <w:t xml:space="preserve">    4.4361</w:t>
            </w:r>
          </w:p>
        </w:tc>
      </w:tr>
      <w:tr w:rsidR="00A468F6" w:rsidTr="00A90C32">
        <w:tc>
          <w:tcPr>
            <w:tcW w:w="1915" w:type="dxa"/>
            <w:shd w:val="clear" w:color="auto" w:fill="D9D9D9" w:themeFill="background1" w:themeFillShade="D9"/>
          </w:tcPr>
          <w:p w:rsidR="00A468F6" w:rsidRDefault="00A468F6" w:rsidP="0094009B">
            <w:pPr>
              <w:jc w:val="right"/>
            </w:pPr>
            <w:r w:rsidRPr="00C15C21">
              <w:t>.11</w:t>
            </w:r>
          </w:p>
        </w:tc>
        <w:tc>
          <w:tcPr>
            <w:tcW w:w="1915" w:type="dxa"/>
            <w:shd w:val="clear" w:color="auto" w:fill="D9D9D9" w:themeFill="background1" w:themeFillShade="D9"/>
          </w:tcPr>
          <w:p w:rsidR="00A468F6" w:rsidRDefault="00A468F6" w:rsidP="0094009B">
            <w:pPr>
              <w:jc w:val="right"/>
            </w:pPr>
            <w:r>
              <w:t>1.5</w:t>
            </w:r>
          </w:p>
        </w:tc>
        <w:tc>
          <w:tcPr>
            <w:tcW w:w="1915" w:type="dxa"/>
            <w:shd w:val="clear" w:color="auto" w:fill="D9D9D9" w:themeFill="background1" w:themeFillShade="D9"/>
          </w:tcPr>
          <w:p w:rsidR="00A468F6" w:rsidRDefault="00A468F6" w:rsidP="0094009B">
            <w:pPr>
              <w:jc w:val="right"/>
            </w:pPr>
            <w:r>
              <w:t>.03</w:t>
            </w:r>
          </w:p>
        </w:tc>
        <w:tc>
          <w:tcPr>
            <w:tcW w:w="1915" w:type="dxa"/>
            <w:shd w:val="clear" w:color="auto" w:fill="D9D9D9" w:themeFill="background1" w:themeFillShade="D9"/>
          </w:tcPr>
          <w:p w:rsidR="00A468F6" w:rsidRDefault="00A468F6" w:rsidP="00A90C32">
            <w:pPr>
              <w:jc w:val="right"/>
            </w:pPr>
            <w:r>
              <w:t>.1</w:t>
            </w:r>
          </w:p>
        </w:tc>
        <w:tc>
          <w:tcPr>
            <w:tcW w:w="1916" w:type="dxa"/>
            <w:shd w:val="clear" w:color="auto" w:fill="D9D9D9" w:themeFill="background1" w:themeFillShade="D9"/>
          </w:tcPr>
          <w:p w:rsidR="00A468F6" w:rsidRPr="00A96C5B" w:rsidRDefault="00A468F6" w:rsidP="00A468F6">
            <w:pPr>
              <w:jc w:val="right"/>
            </w:pPr>
            <w:r w:rsidRPr="00A96C5B">
              <w:t xml:space="preserve">    6.3267</w:t>
            </w:r>
          </w:p>
        </w:tc>
      </w:tr>
      <w:tr w:rsidR="004C411C" w:rsidRPr="004C411C" w:rsidTr="00A90C32">
        <w:tc>
          <w:tcPr>
            <w:tcW w:w="1915" w:type="dxa"/>
          </w:tcPr>
          <w:p w:rsidR="00A468F6" w:rsidRPr="004C411C" w:rsidRDefault="00A468F6" w:rsidP="0094009B">
            <w:pPr>
              <w:jc w:val="right"/>
              <w:rPr>
                <w:color w:val="FF0000"/>
              </w:rPr>
            </w:pPr>
            <w:r w:rsidRPr="004C411C">
              <w:rPr>
                <w:color w:val="FF0000"/>
              </w:rPr>
              <w:t>.11</w:t>
            </w:r>
          </w:p>
        </w:tc>
        <w:tc>
          <w:tcPr>
            <w:tcW w:w="1915" w:type="dxa"/>
          </w:tcPr>
          <w:p w:rsidR="00A468F6" w:rsidRPr="004C411C" w:rsidRDefault="00A468F6" w:rsidP="0094009B">
            <w:pPr>
              <w:jc w:val="right"/>
              <w:rPr>
                <w:color w:val="FF0000"/>
              </w:rPr>
            </w:pPr>
            <w:r w:rsidRPr="004C411C">
              <w:rPr>
                <w:color w:val="FF0000"/>
              </w:rPr>
              <w:t>1.5</w:t>
            </w:r>
          </w:p>
        </w:tc>
        <w:tc>
          <w:tcPr>
            <w:tcW w:w="1915" w:type="dxa"/>
          </w:tcPr>
          <w:p w:rsidR="00A468F6" w:rsidRPr="004C411C" w:rsidRDefault="00A468F6" w:rsidP="0094009B">
            <w:pPr>
              <w:jc w:val="right"/>
              <w:rPr>
                <w:color w:val="FF0000"/>
              </w:rPr>
            </w:pPr>
            <w:r w:rsidRPr="004C411C">
              <w:rPr>
                <w:color w:val="FF0000"/>
              </w:rPr>
              <w:t>.03</w:t>
            </w:r>
          </w:p>
        </w:tc>
        <w:tc>
          <w:tcPr>
            <w:tcW w:w="1915" w:type="dxa"/>
          </w:tcPr>
          <w:p w:rsidR="00A468F6" w:rsidRPr="004C411C" w:rsidRDefault="00A468F6" w:rsidP="00A90C32">
            <w:pPr>
              <w:jc w:val="right"/>
              <w:rPr>
                <w:color w:val="FF0000"/>
              </w:rPr>
            </w:pPr>
            <w:r w:rsidRPr="004C411C">
              <w:rPr>
                <w:color w:val="FF0000"/>
              </w:rPr>
              <w:t>.15</w:t>
            </w:r>
          </w:p>
        </w:tc>
        <w:tc>
          <w:tcPr>
            <w:tcW w:w="1916" w:type="dxa"/>
          </w:tcPr>
          <w:p w:rsidR="00A468F6" w:rsidRPr="004C411C" w:rsidRDefault="00A468F6" w:rsidP="00A468F6">
            <w:pPr>
              <w:jc w:val="right"/>
              <w:rPr>
                <w:color w:val="FF0000"/>
              </w:rPr>
            </w:pPr>
            <w:r w:rsidRPr="004C411C">
              <w:rPr>
                <w:color w:val="FF0000"/>
              </w:rPr>
              <w:t xml:space="preserve">   14.4299</w:t>
            </w:r>
          </w:p>
        </w:tc>
      </w:tr>
      <w:tr w:rsidR="00A468F6" w:rsidTr="00A90C32">
        <w:tc>
          <w:tcPr>
            <w:tcW w:w="1915" w:type="dxa"/>
            <w:shd w:val="clear" w:color="auto" w:fill="D9D9D9" w:themeFill="background1" w:themeFillShade="D9"/>
          </w:tcPr>
          <w:p w:rsidR="00A468F6" w:rsidRDefault="00A468F6" w:rsidP="0094009B">
            <w:pPr>
              <w:jc w:val="right"/>
            </w:pPr>
            <w:r w:rsidRPr="00C15C21">
              <w:t>.11</w:t>
            </w:r>
          </w:p>
        </w:tc>
        <w:tc>
          <w:tcPr>
            <w:tcW w:w="1915" w:type="dxa"/>
            <w:shd w:val="clear" w:color="auto" w:fill="D9D9D9" w:themeFill="background1" w:themeFillShade="D9"/>
          </w:tcPr>
          <w:p w:rsidR="00A468F6" w:rsidRDefault="00A468F6" w:rsidP="0094009B">
            <w:pPr>
              <w:jc w:val="right"/>
            </w:pPr>
            <w:r>
              <w:t>1.5</w:t>
            </w:r>
          </w:p>
        </w:tc>
        <w:tc>
          <w:tcPr>
            <w:tcW w:w="1915" w:type="dxa"/>
            <w:shd w:val="clear" w:color="auto" w:fill="D9D9D9" w:themeFill="background1" w:themeFillShade="D9"/>
          </w:tcPr>
          <w:p w:rsidR="00A468F6" w:rsidRDefault="00A468F6" w:rsidP="0094009B">
            <w:pPr>
              <w:jc w:val="right"/>
            </w:pPr>
            <w:r>
              <w:t>.05</w:t>
            </w:r>
          </w:p>
        </w:tc>
        <w:tc>
          <w:tcPr>
            <w:tcW w:w="1915" w:type="dxa"/>
            <w:shd w:val="clear" w:color="auto" w:fill="D9D9D9" w:themeFill="background1" w:themeFillShade="D9"/>
          </w:tcPr>
          <w:p w:rsidR="00A468F6" w:rsidRDefault="00A468F6" w:rsidP="00A90C32">
            <w:pPr>
              <w:jc w:val="right"/>
            </w:pPr>
            <w:r>
              <w:t>.1</w:t>
            </w:r>
          </w:p>
        </w:tc>
        <w:tc>
          <w:tcPr>
            <w:tcW w:w="1916" w:type="dxa"/>
            <w:shd w:val="clear" w:color="auto" w:fill="D9D9D9" w:themeFill="background1" w:themeFillShade="D9"/>
          </w:tcPr>
          <w:p w:rsidR="00A468F6" w:rsidRPr="00A96C5B" w:rsidRDefault="00A468F6" w:rsidP="00A468F6">
            <w:pPr>
              <w:jc w:val="right"/>
            </w:pPr>
            <w:r w:rsidRPr="00A96C5B">
              <w:t xml:space="preserve">    7.1175</w:t>
            </w:r>
          </w:p>
        </w:tc>
      </w:tr>
      <w:tr w:rsidR="00A468F6" w:rsidTr="00A90C32">
        <w:tc>
          <w:tcPr>
            <w:tcW w:w="1915" w:type="dxa"/>
          </w:tcPr>
          <w:p w:rsidR="00A468F6" w:rsidRDefault="00A468F6" w:rsidP="0094009B">
            <w:pPr>
              <w:jc w:val="right"/>
            </w:pPr>
            <w:r w:rsidRPr="00C15C21">
              <w:t>.11</w:t>
            </w:r>
          </w:p>
        </w:tc>
        <w:tc>
          <w:tcPr>
            <w:tcW w:w="1915" w:type="dxa"/>
          </w:tcPr>
          <w:p w:rsidR="00A468F6" w:rsidRDefault="00A468F6" w:rsidP="0094009B">
            <w:pPr>
              <w:jc w:val="right"/>
            </w:pPr>
            <w:r>
              <w:t>1.5</w:t>
            </w:r>
          </w:p>
        </w:tc>
        <w:tc>
          <w:tcPr>
            <w:tcW w:w="1915" w:type="dxa"/>
          </w:tcPr>
          <w:p w:rsidR="00A468F6" w:rsidRDefault="00A468F6" w:rsidP="0094009B">
            <w:pPr>
              <w:jc w:val="right"/>
            </w:pPr>
            <w:r>
              <w:t>.05</w:t>
            </w:r>
          </w:p>
        </w:tc>
        <w:tc>
          <w:tcPr>
            <w:tcW w:w="1915" w:type="dxa"/>
          </w:tcPr>
          <w:p w:rsidR="00A468F6" w:rsidRDefault="00A468F6" w:rsidP="00A90C32">
            <w:pPr>
              <w:jc w:val="right"/>
            </w:pPr>
            <w:r>
              <w:t>.15</w:t>
            </w:r>
          </w:p>
        </w:tc>
        <w:tc>
          <w:tcPr>
            <w:tcW w:w="1916" w:type="dxa"/>
          </w:tcPr>
          <w:p w:rsidR="00A468F6" w:rsidRDefault="00A468F6" w:rsidP="00A468F6">
            <w:pPr>
              <w:jc w:val="right"/>
            </w:pPr>
            <w:r w:rsidRPr="00A96C5B">
              <w:t xml:space="preserve">    9.8917</w:t>
            </w:r>
          </w:p>
        </w:tc>
      </w:tr>
    </w:tbl>
    <w:p w:rsidR="00A90C32" w:rsidRPr="00A90C32" w:rsidRDefault="00A90C32" w:rsidP="00A90C32">
      <w:pPr>
        <w:jc w:val="center"/>
        <w:rPr>
          <w:i/>
        </w:rPr>
      </w:pPr>
      <w:r>
        <w:rPr>
          <w:i/>
        </w:rPr>
        <w:t>Table 1: Simulated costs at boundary conditions</w:t>
      </w:r>
    </w:p>
    <w:sectPr w:rsidR="00A90C32" w:rsidRPr="00A90C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C32"/>
    <w:rsid w:val="00102501"/>
    <w:rsid w:val="00167E2C"/>
    <w:rsid w:val="002E7DC0"/>
    <w:rsid w:val="00323873"/>
    <w:rsid w:val="004100A4"/>
    <w:rsid w:val="004C411C"/>
    <w:rsid w:val="005A30E1"/>
    <w:rsid w:val="006A001E"/>
    <w:rsid w:val="006E31BE"/>
    <w:rsid w:val="007E6806"/>
    <w:rsid w:val="009243B1"/>
    <w:rsid w:val="00A468F6"/>
    <w:rsid w:val="00A90C32"/>
    <w:rsid w:val="00B669CF"/>
    <w:rsid w:val="00BD6FBE"/>
    <w:rsid w:val="00F33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0C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0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0C3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90C32"/>
    <w:pPr>
      <w:spacing w:after="0" w:line="240" w:lineRule="auto"/>
    </w:pPr>
  </w:style>
  <w:style w:type="character" w:styleId="PlaceholderText">
    <w:name w:val="Placeholder Text"/>
    <w:basedOn w:val="DefaultParagraphFont"/>
    <w:uiPriority w:val="99"/>
    <w:semiHidden/>
    <w:rsid w:val="00A90C32"/>
    <w:rPr>
      <w:color w:val="808080"/>
    </w:rPr>
  </w:style>
  <w:style w:type="paragraph" w:styleId="BalloonText">
    <w:name w:val="Balloon Text"/>
    <w:basedOn w:val="Normal"/>
    <w:link w:val="BalloonTextChar"/>
    <w:uiPriority w:val="99"/>
    <w:semiHidden/>
    <w:unhideWhenUsed/>
    <w:rsid w:val="00A90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C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0C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0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0C3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90C32"/>
    <w:pPr>
      <w:spacing w:after="0" w:line="240" w:lineRule="auto"/>
    </w:pPr>
  </w:style>
  <w:style w:type="character" w:styleId="PlaceholderText">
    <w:name w:val="Placeholder Text"/>
    <w:basedOn w:val="DefaultParagraphFont"/>
    <w:uiPriority w:val="99"/>
    <w:semiHidden/>
    <w:rsid w:val="00A90C32"/>
    <w:rPr>
      <w:color w:val="808080"/>
    </w:rPr>
  </w:style>
  <w:style w:type="paragraph" w:styleId="BalloonText">
    <w:name w:val="Balloon Text"/>
    <w:basedOn w:val="Normal"/>
    <w:link w:val="BalloonTextChar"/>
    <w:uiPriority w:val="99"/>
    <w:semiHidden/>
    <w:unhideWhenUsed/>
    <w:rsid w:val="00A90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C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183939C-60E4-4D87-AD73-F7CA6BD59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8</cp:revision>
  <dcterms:created xsi:type="dcterms:W3CDTF">2012-04-24T21:57:00Z</dcterms:created>
  <dcterms:modified xsi:type="dcterms:W3CDTF">2012-04-25T00:34:00Z</dcterms:modified>
</cp:coreProperties>
</file>