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01E" w:rsidRDefault="00A90C32" w:rsidP="00A90C32">
      <w:pPr>
        <w:pStyle w:val="NoSpacing"/>
      </w:pPr>
      <w:r>
        <w:t>Edward Venator</w:t>
      </w:r>
    </w:p>
    <w:p w:rsidR="00A90C32" w:rsidRDefault="00A90C32" w:rsidP="00A90C32">
      <w:pPr>
        <w:pStyle w:val="NoSpacing"/>
      </w:pPr>
      <w:r>
        <w:t xml:space="preserve">EECS 304 </w:t>
      </w:r>
      <w:proofErr w:type="gramStart"/>
      <w:r>
        <w:t>Spring</w:t>
      </w:r>
      <w:proofErr w:type="gramEnd"/>
      <w:r>
        <w:t xml:space="preserve"> 2012</w:t>
      </w:r>
    </w:p>
    <w:p w:rsidR="00A90C32" w:rsidRDefault="00A90C32" w:rsidP="00A90C32">
      <w:pPr>
        <w:pStyle w:val="NoSpacing"/>
      </w:pPr>
      <w:r>
        <w:t>Helicopter Competition Project Report</w:t>
      </w:r>
    </w:p>
    <w:p w:rsidR="00A90C32" w:rsidRDefault="00A90C32" w:rsidP="00A90C32">
      <w:pPr>
        <w:pStyle w:val="Heading2"/>
      </w:pPr>
      <w:r>
        <w:t>Solution</w:t>
      </w:r>
    </w:p>
    <w:p w:rsidR="00A90C32" w:rsidRPr="00F33F36" w:rsidRDefault="00A90C32" w:rsidP="00A90C32">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 xml:space="preserve">125 </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+50 s+35</m:t>
              </m:r>
            </m:num>
            <m:den>
              <m:f>
                <m:fPr>
                  <m:ctrlPr>
                    <w:rPr>
                      <w:rFonts w:ascii="Cambria Math" w:hAnsi="Cambria Math"/>
                      <w:i/>
                    </w:rPr>
                  </m:ctrlPr>
                </m:fPr>
                <m:num>
                  <m:r>
                    <w:rPr>
                      <w:rFonts w:ascii="Cambria Math" w:hAnsi="Cambria Math"/>
                    </w:rPr>
                    <m:t>1</m:t>
                  </m:r>
                </m:num>
                <m:den>
                  <m:r>
                    <w:rPr>
                      <w:rFonts w:ascii="Cambria Math" w:hAnsi="Cambria Math"/>
                    </w:rPr>
                    <m:t>90</m:t>
                  </m:r>
                </m:den>
              </m:f>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den>
          </m:f>
        </m:oMath>
      </m:oMathPara>
    </w:p>
    <w:p w:rsidR="00F33F36" w:rsidRPr="00F33F36" w:rsidRDefault="00F33F36" w:rsidP="00F33F36">
      <w:pPr>
        <w:pStyle w:val="NoSpacing"/>
        <w:rPr>
          <w:rFonts w:ascii="Consolas" w:hAnsi="Consolas" w:cs="Consolas"/>
        </w:rPr>
      </w:pPr>
      <w:proofErr w:type="spellStart"/>
      <w:proofErr w:type="gramStart"/>
      <w:r w:rsidRPr="00F33F36">
        <w:rPr>
          <w:rFonts w:ascii="Consolas" w:hAnsi="Consolas" w:cs="Consolas"/>
        </w:rPr>
        <w:t>numG</w:t>
      </w:r>
      <w:proofErr w:type="spellEnd"/>
      <w:proofErr w:type="gramEnd"/>
      <w:r w:rsidRPr="00F33F36">
        <w:rPr>
          <w:rFonts w:ascii="Consolas" w:hAnsi="Consolas" w:cs="Consolas"/>
        </w:rPr>
        <w:t xml:space="preserve"> = [125 50 35]</w:t>
      </w:r>
    </w:p>
    <w:p w:rsidR="00F33F36" w:rsidRPr="00F33F36" w:rsidRDefault="00F33F36" w:rsidP="00F33F36">
      <w:pPr>
        <w:pStyle w:val="NoSpacing"/>
        <w:rPr>
          <w:rFonts w:ascii="Consolas" w:hAnsi="Consolas" w:cs="Consolas"/>
        </w:rPr>
      </w:pPr>
      <w:proofErr w:type="spellStart"/>
      <w:proofErr w:type="gramStart"/>
      <w:r w:rsidRPr="00F33F36">
        <w:rPr>
          <w:rFonts w:ascii="Consolas" w:hAnsi="Consolas" w:cs="Consolas"/>
        </w:rPr>
        <w:t>denG</w:t>
      </w:r>
      <w:proofErr w:type="spellEnd"/>
      <w:proofErr w:type="gramEnd"/>
      <w:r w:rsidRPr="00F33F36">
        <w:rPr>
          <w:rFonts w:ascii="Consolas" w:hAnsi="Consolas" w:cs="Consolas"/>
        </w:rPr>
        <w:t xml:space="preserve"> = [(1/90) 1 0]</w:t>
      </w:r>
    </w:p>
    <w:p w:rsidR="00A90C32" w:rsidRDefault="00A90C32" w:rsidP="00A90C32">
      <w:pPr>
        <w:pStyle w:val="Heading2"/>
      </w:pPr>
      <w:r>
        <w:t>Methodology</w:t>
      </w:r>
    </w:p>
    <w:p w:rsidR="00323873" w:rsidRDefault="004100A4" w:rsidP="00A90C32">
      <w:r>
        <w:t xml:space="preserve">My approach to this problem was to use a PID controller combined with a low-pass filter. The PID controller provides the control signal, and the low-pass filter accounts for sensor noise and quantization effects by removing </w:t>
      </w:r>
      <w:r w:rsidR="00323873">
        <w:t>high frequencies from the error signal.</w:t>
      </w:r>
      <w:r w:rsidR="00B669CF">
        <w:t xml:space="preserve"> I chose not to implement a </w:t>
      </w:r>
      <w:proofErr w:type="spellStart"/>
      <w:r w:rsidR="00B669CF">
        <w:t>prefilter</w:t>
      </w:r>
      <w:proofErr w:type="spellEnd"/>
      <w:r w:rsidR="00B669CF">
        <w:t xml:space="preserve"> on the reference path, as I did not find it to have any appreciable effect on the results.</w:t>
      </w:r>
    </w:p>
    <w:p w:rsidR="002656D9" w:rsidRDefault="002656D9" w:rsidP="00A90C32">
      <w:r>
        <w:t xml:space="preserve">Although I originally considered using a low-Q notch filter centered in the 1 to 1.5 rad/sec range to remove the oscillatory behavior of the system, I found that the </w:t>
      </w:r>
      <w:r>
        <w:t>low frequency oscillations of the system were not very strong, and were only apparent when the system’s damping parameter was at its minimum. Based on this, I decided that the notch filter added unnecessary complexity to the controller.</w:t>
      </w:r>
    </w:p>
    <w:p w:rsidR="00323873" w:rsidRDefault="00323873" w:rsidP="00A90C32">
      <w:r>
        <w:t xml:space="preserve">After deciding on a PID controller, I began experimentally tuning the controller, validating my gains by testing them in the Simulink model. </w:t>
      </w:r>
      <w:r w:rsidR="002656D9">
        <w:t>I began by setting the proportional gain and the filter corner frequency. In order to remove steady state error, I added integral gain. I then increased derivative and proportional gain to get as fast a controller as I could without it going unstable or being so oscillatory that it was in danger of crashing.</w:t>
      </w:r>
    </w:p>
    <w:p w:rsidR="002656D9" w:rsidRDefault="002656D9" w:rsidP="002656D9">
      <w:pPr>
        <w:pStyle w:val="Heading2"/>
      </w:pPr>
      <w:r>
        <w:t>Results</w:t>
      </w:r>
    </w:p>
    <w:p w:rsidR="002656D9" w:rsidRDefault="002656D9" w:rsidP="00A90C32">
      <w:r>
        <w:t xml:space="preserve">The figures and table below depict simulated results of the controller. For the most part, the controller yields a cost between 3.4 and 8. </w:t>
      </w:r>
      <w:r w:rsidR="00300536">
        <w:t xml:space="preserve">It appears that the gain of the system, k, has the greatest effect on the performance of the controller, with low gain systems consistently out performing high gain systems. This is explained by the oscillations that are introduced at higher gains. I could have reduced this problem by reducing my overall gain, but at the cost of increased tracking error. </w:t>
      </w:r>
      <w:r w:rsidR="002B691C">
        <w:t>T</w:t>
      </w:r>
      <w:r>
        <w:t xml:space="preserve">here is one worst-case condition where the cost is over 14. As one might expect, this is one of the high gain, low damping, </w:t>
      </w:r>
      <w:proofErr w:type="gramStart"/>
      <w:r>
        <w:t>long</w:t>
      </w:r>
      <w:proofErr w:type="gramEnd"/>
      <w:r>
        <w:t xml:space="preserve"> time delay cases. It is surprising how much this case departs from the overall performance of the controller, and I hope that the actual system does not operate in this region.</w:t>
      </w:r>
    </w:p>
    <w:p w:rsidR="002656D9" w:rsidRDefault="002656D9" w:rsidP="002656D9">
      <w:pPr>
        <w:jc w:val="center"/>
      </w:pPr>
      <w:r>
        <w:rPr>
          <w:noProof/>
        </w:rPr>
        <w:lastRenderedPageBreak/>
        <w:drawing>
          <wp:inline distT="0" distB="0" distL="0" distR="0" wp14:anchorId="491CA81E" wp14:editId="6B6A58CB">
            <wp:extent cx="5623560" cy="180903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23560" cy="1809032"/>
                    </a:xfrm>
                    <a:prstGeom prst="rect">
                      <a:avLst/>
                    </a:prstGeom>
                  </pic:spPr>
                </pic:pic>
              </a:graphicData>
            </a:graphic>
          </wp:inline>
        </w:drawing>
      </w:r>
    </w:p>
    <w:p w:rsidR="002656D9" w:rsidRDefault="002656D9" w:rsidP="002656D9">
      <w:pPr>
        <w:jc w:val="center"/>
      </w:pPr>
      <w:r>
        <w:t>Figure 1: Worst case controller performance</w:t>
      </w:r>
      <w:bookmarkStart w:id="0" w:name="_GoBack"/>
      <w:bookmarkEnd w:id="0"/>
    </w:p>
    <w:p w:rsidR="002656D9" w:rsidRDefault="002656D9" w:rsidP="002656D9">
      <w:pPr>
        <w:jc w:val="center"/>
      </w:pPr>
      <w:r>
        <w:rPr>
          <w:noProof/>
        </w:rPr>
        <w:drawing>
          <wp:inline distT="0" distB="0" distL="0" distR="0" wp14:anchorId="69DD520A" wp14:editId="6AA131DB">
            <wp:extent cx="5623560" cy="1797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23560" cy="1797617"/>
                    </a:xfrm>
                    <a:prstGeom prst="rect">
                      <a:avLst/>
                    </a:prstGeom>
                  </pic:spPr>
                </pic:pic>
              </a:graphicData>
            </a:graphic>
          </wp:inline>
        </w:drawing>
      </w:r>
    </w:p>
    <w:p w:rsidR="002656D9" w:rsidRPr="002656D9" w:rsidRDefault="002656D9" w:rsidP="002656D9">
      <w:pPr>
        <w:jc w:val="center"/>
        <w:rPr>
          <w:rFonts w:asciiTheme="majorHAnsi" w:eastAsiaTheme="majorEastAsia" w:hAnsiTheme="majorHAnsi" w:cstheme="majorBidi"/>
          <w:b/>
          <w:bCs/>
          <w:color w:val="4F81BD" w:themeColor="accent1"/>
          <w:sz w:val="26"/>
          <w:szCs w:val="26"/>
        </w:rPr>
      </w:pPr>
      <w:r>
        <w:t>Figure 2: Best case controller performance</w:t>
      </w:r>
    </w:p>
    <w:tbl>
      <w:tblPr>
        <w:tblStyle w:val="TableGrid"/>
        <w:tblW w:w="9576" w:type="dxa"/>
        <w:tblLook w:val="04A0" w:firstRow="1" w:lastRow="0" w:firstColumn="1" w:lastColumn="0" w:noHBand="0" w:noVBand="1"/>
      </w:tblPr>
      <w:tblGrid>
        <w:gridCol w:w="1915"/>
        <w:gridCol w:w="1915"/>
        <w:gridCol w:w="1915"/>
        <w:gridCol w:w="1915"/>
        <w:gridCol w:w="1916"/>
      </w:tblGrid>
      <w:tr w:rsidR="002656D9" w:rsidRPr="00A90C32" w:rsidTr="0094009B">
        <w:tc>
          <w:tcPr>
            <w:tcW w:w="1915" w:type="dxa"/>
          </w:tcPr>
          <w:p w:rsidR="002656D9" w:rsidRPr="00A90C32" w:rsidRDefault="002656D9" w:rsidP="0094009B">
            <w:pPr>
              <w:jc w:val="center"/>
              <w:rPr>
                <w:b/>
              </w:rPr>
            </w:pPr>
            <w:r w:rsidRPr="00A90C32">
              <w:rPr>
                <w:b/>
              </w:rPr>
              <w:t>T</w:t>
            </w:r>
          </w:p>
        </w:tc>
        <w:tc>
          <w:tcPr>
            <w:tcW w:w="1915" w:type="dxa"/>
          </w:tcPr>
          <w:p w:rsidR="002656D9" w:rsidRPr="00A90C32" w:rsidRDefault="002656D9" w:rsidP="0094009B">
            <w:pPr>
              <w:jc w:val="center"/>
              <w:rPr>
                <w:b/>
                <w:vertAlign w:val="subscript"/>
              </w:rPr>
            </w:pPr>
            <w:proofErr w:type="spellStart"/>
            <w:r w:rsidRPr="00A90C32">
              <w:rPr>
                <w:rFonts w:cstheme="minorHAnsi"/>
                <w:b/>
              </w:rPr>
              <w:t>ω</w:t>
            </w:r>
            <w:r w:rsidRPr="00A90C32">
              <w:rPr>
                <w:b/>
                <w:vertAlign w:val="subscript"/>
              </w:rPr>
              <w:t>n</w:t>
            </w:r>
            <w:proofErr w:type="spellEnd"/>
          </w:p>
        </w:tc>
        <w:tc>
          <w:tcPr>
            <w:tcW w:w="1915" w:type="dxa"/>
          </w:tcPr>
          <w:p w:rsidR="002656D9" w:rsidRPr="00A90C32" w:rsidRDefault="002656D9" w:rsidP="0094009B">
            <w:pPr>
              <w:jc w:val="center"/>
              <w:rPr>
                <w:b/>
              </w:rPr>
            </w:pPr>
            <w:r w:rsidRPr="00A90C32">
              <w:rPr>
                <w:rFonts w:cstheme="minorHAnsi"/>
                <w:b/>
              </w:rPr>
              <w:t>ζ</w:t>
            </w:r>
          </w:p>
        </w:tc>
        <w:tc>
          <w:tcPr>
            <w:tcW w:w="1915" w:type="dxa"/>
          </w:tcPr>
          <w:p w:rsidR="002656D9" w:rsidRPr="00A90C32" w:rsidRDefault="002656D9" w:rsidP="0094009B">
            <w:pPr>
              <w:jc w:val="center"/>
              <w:rPr>
                <w:b/>
              </w:rPr>
            </w:pPr>
            <w:r w:rsidRPr="00A90C32">
              <w:rPr>
                <w:b/>
              </w:rPr>
              <w:t>k</w:t>
            </w:r>
          </w:p>
        </w:tc>
        <w:tc>
          <w:tcPr>
            <w:tcW w:w="1916" w:type="dxa"/>
          </w:tcPr>
          <w:p w:rsidR="002656D9" w:rsidRPr="00A90C32" w:rsidRDefault="002656D9" w:rsidP="0094009B">
            <w:pPr>
              <w:jc w:val="center"/>
              <w:rPr>
                <w:b/>
              </w:rPr>
            </w:pPr>
            <w:r w:rsidRPr="00A90C32">
              <w:rPr>
                <w:b/>
              </w:rPr>
              <w:t>J</w:t>
            </w:r>
          </w:p>
        </w:tc>
      </w:tr>
      <w:tr w:rsidR="002656D9" w:rsidTr="0094009B">
        <w:tc>
          <w:tcPr>
            <w:tcW w:w="1915" w:type="dxa"/>
            <w:shd w:val="clear" w:color="auto" w:fill="D9D9D9" w:themeFill="background1" w:themeFillShade="D9"/>
          </w:tcPr>
          <w:p w:rsidR="002656D9" w:rsidRDefault="002656D9" w:rsidP="0094009B">
            <w:pPr>
              <w:jc w:val="right"/>
            </w:pPr>
            <w:r>
              <w:t>.09</w:t>
            </w:r>
          </w:p>
        </w:tc>
        <w:tc>
          <w:tcPr>
            <w:tcW w:w="1915" w:type="dxa"/>
            <w:shd w:val="clear" w:color="auto" w:fill="D9D9D9" w:themeFill="background1" w:themeFillShade="D9"/>
          </w:tcPr>
          <w:p w:rsidR="002656D9" w:rsidRDefault="002656D9" w:rsidP="0094009B">
            <w:pPr>
              <w:jc w:val="right"/>
            </w:pPr>
            <w:r>
              <w:t>1.0</w:t>
            </w:r>
          </w:p>
        </w:tc>
        <w:tc>
          <w:tcPr>
            <w:tcW w:w="1915" w:type="dxa"/>
            <w:shd w:val="clear" w:color="auto" w:fill="D9D9D9" w:themeFill="background1" w:themeFillShade="D9"/>
          </w:tcPr>
          <w:p w:rsidR="002656D9" w:rsidRDefault="002656D9" w:rsidP="0094009B">
            <w:pPr>
              <w:jc w:val="right"/>
            </w:pPr>
            <w:r>
              <w:t>.03</w:t>
            </w:r>
          </w:p>
        </w:tc>
        <w:tc>
          <w:tcPr>
            <w:tcW w:w="1915" w:type="dxa"/>
            <w:shd w:val="clear" w:color="auto" w:fill="D9D9D9" w:themeFill="background1" w:themeFillShade="D9"/>
          </w:tcPr>
          <w:p w:rsidR="002656D9" w:rsidRDefault="002656D9" w:rsidP="0094009B">
            <w:pPr>
              <w:jc w:val="right"/>
            </w:pPr>
            <w:r>
              <w:t>.1</w:t>
            </w:r>
          </w:p>
        </w:tc>
        <w:tc>
          <w:tcPr>
            <w:tcW w:w="1916" w:type="dxa"/>
            <w:shd w:val="clear" w:color="auto" w:fill="D9D9D9" w:themeFill="background1" w:themeFillShade="D9"/>
          </w:tcPr>
          <w:p w:rsidR="002656D9" w:rsidRPr="00A96C5B" w:rsidRDefault="002656D9" w:rsidP="0094009B">
            <w:pPr>
              <w:jc w:val="right"/>
            </w:pPr>
            <w:r w:rsidRPr="00A96C5B">
              <w:t xml:space="preserve">    3.4049</w:t>
            </w:r>
          </w:p>
        </w:tc>
      </w:tr>
      <w:tr w:rsidR="002656D9" w:rsidTr="0094009B">
        <w:tc>
          <w:tcPr>
            <w:tcW w:w="1915" w:type="dxa"/>
          </w:tcPr>
          <w:p w:rsidR="002656D9" w:rsidRDefault="002656D9" w:rsidP="0094009B">
            <w:pPr>
              <w:jc w:val="right"/>
            </w:pPr>
            <w:r w:rsidRPr="00D11901">
              <w:t>.09</w:t>
            </w:r>
          </w:p>
        </w:tc>
        <w:tc>
          <w:tcPr>
            <w:tcW w:w="1915" w:type="dxa"/>
          </w:tcPr>
          <w:p w:rsidR="002656D9" w:rsidRDefault="002656D9" w:rsidP="0094009B">
            <w:pPr>
              <w:jc w:val="right"/>
            </w:pPr>
            <w:r>
              <w:t>1.0</w:t>
            </w:r>
          </w:p>
        </w:tc>
        <w:tc>
          <w:tcPr>
            <w:tcW w:w="1915" w:type="dxa"/>
          </w:tcPr>
          <w:p w:rsidR="002656D9" w:rsidRDefault="002656D9" w:rsidP="0094009B">
            <w:pPr>
              <w:jc w:val="right"/>
            </w:pPr>
            <w:r>
              <w:t>.03</w:t>
            </w:r>
          </w:p>
        </w:tc>
        <w:tc>
          <w:tcPr>
            <w:tcW w:w="1915" w:type="dxa"/>
          </w:tcPr>
          <w:p w:rsidR="002656D9" w:rsidRDefault="002656D9" w:rsidP="0094009B">
            <w:pPr>
              <w:jc w:val="right"/>
            </w:pPr>
            <w:r>
              <w:t>.15</w:t>
            </w:r>
          </w:p>
        </w:tc>
        <w:tc>
          <w:tcPr>
            <w:tcW w:w="1916" w:type="dxa"/>
          </w:tcPr>
          <w:p w:rsidR="002656D9" w:rsidRPr="00A96C5B" w:rsidRDefault="002656D9" w:rsidP="0094009B">
            <w:pPr>
              <w:jc w:val="right"/>
            </w:pPr>
            <w:r w:rsidRPr="00A96C5B">
              <w:t xml:space="preserve">    3.9813</w:t>
            </w:r>
          </w:p>
        </w:tc>
      </w:tr>
      <w:tr w:rsidR="002656D9" w:rsidTr="0094009B">
        <w:tc>
          <w:tcPr>
            <w:tcW w:w="1915" w:type="dxa"/>
            <w:shd w:val="clear" w:color="auto" w:fill="D9D9D9" w:themeFill="background1" w:themeFillShade="D9"/>
          </w:tcPr>
          <w:p w:rsidR="002656D9" w:rsidRDefault="002656D9" w:rsidP="0094009B">
            <w:pPr>
              <w:jc w:val="right"/>
            </w:pPr>
            <w:r w:rsidRPr="00D11901">
              <w:t>.09</w:t>
            </w:r>
          </w:p>
        </w:tc>
        <w:tc>
          <w:tcPr>
            <w:tcW w:w="1915" w:type="dxa"/>
            <w:shd w:val="clear" w:color="auto" w:fill="D9D9D9" w:themeFill="background1" w:themeFillShade="D9"/>
          </w:tcPr>
          <w:p w:rsidR="002656D9" w:rsidRDefault="002656D9" w:rsidP="0094009B">
            <w:pPr>
              <w:jc w:val="right"/>
            </w:pPr>
            <w:r>
              <w:t>1.0</w:t>
            </w:r>
          </w:p>
        </w:tc>
        <w:tc>
          <w:tcPr>
            <w:tcW w:w="1915" w:type="dxa"/>
            <w:shd w:val="clear" w:color="auto" w:fill="D9D9D9" w:themeFill="background1" w:themeFillShade="D9"/>
          </w:tcPr>
          <w:p w:rsidR="002656D9" w:rsidRDefault="002656D9" w:rsidP="0094009B">
            <w:pPr>
              <w:jc w:val="right"/>
            </w:pPr>
            <w:r>
              <w:t>.05</w:t>
            </w:r>
          </w:p>
        </w:tc>
        <w:tc>
          <w:tcPr>
            <w:tcW w:w="1915" w:type="dxa"/>
            <w:shd w:val="clear" w:color="auto" w:fill="D9D9D9" w:themeFill="background1" w:themeFillShade="D9"/>
          </w:tcPr>
          <w:p w:rsidR="002656D9" w:rsidRDefault="002656D9" w:rsidP="0094009B">
            <w:pPr>
              <w:jc w:val="right"/>
            </w:pPr>
            <w:r>
              <w:t>.1</w:t>
            </w:r>
          </w:p>
        </w:tc>
        <w:tc>
          <w:tcPr>
            <w:tcW w:w="1916" w:type="dxa"/>
            <w:shd w:val="clear" w:color="auto" w:fill="D9D9D9" w:themeFill="background1" w:themeFillShade="D9"/>
          </w:tcPr>
          <w:p w:rsidR="002656D9" w:rsidRPr="00A96C5B" w:rsidRDefault="002656D9" w:rsidP="0094009B">
            <w:pPr>
              <w:jc w:val="right"/>
            </w:pPr>
            <w:r w:rsidRPr="00A96C5B">
              <w:t xml:space="preserve">    3.3939</w:t>
            </w:r>
          </w:p>
        </w:tc>
      </w:tr>
      <w:tr w:rsidR="002656D9" w:rsidTr="0094009B">
        <w:tc>
          <w:tcPr>
            <w:tcW w:w="1915" w:type="dxa"/>
          </w:tcPr>
          <w:p w:rsidR="002656D9" w:rsidRDefault="002656D9" w:rsidP="0094009B">
            <w:pPr>
              <w:jc w:val="right"/>
            </w:pPr>
            <w:r w:rsidRPr="00D11901">
              <w:t>.09</w:t>
            </w:r>
          </w:p>
        </w:tc>
        <w:tc>
          <w:tcPr>
            <w:tcW w:w="1915" w:type="dxa"/>
          </w:tcPr>
          <w:p w:rsidR="002656D9" w:rsidRDefault="002656D9" w:rsidP="0094009B">
            <w:pPr>
              <w:jc w:val="right"/>
            </w:pPr>
            <w:r>
              <w:t>1.0</w:t>
            </w:r>
          </w:p>
        </w:tc>
        <w:tc>
          <w:tcPr>
            <w:tcW w:w="1915" w:type="dxa"/>
          </w:tcPr>
          <w:p w:rsidR="002656D9" w:rsidRDefault="002656D9" w:rsidP="0094009B">
            <w:pPr>
              <w:jc w:val="right"/>
            </w:pPr>
            <w:r>
              <w:t>.05</w:t>
            </w:r>
          </w:p>
        </w:tc>
        <w:tc>
          <w:tcPr>
            <w:tcW w:w="1915" w:type="dxa"/>
          </w:tcPr>
          <w:p w:rsidR="002656D9" w:rsidRDefault="002656D9" w:rsidP="0094009B">
            <w:pPr>
              <w:jc w:val="right"/>
            </w:pPr>
            <w:r>
              <w:t>.15</w:t>
            </w:r>
          </w:p>
        </w:tc>
        <w:tc>
          <w:tcPr>
            <w:tcW w:w="1916" w:type="dxa"/>
          </w:tcPr>
          <w:p w:rsidR="002656D9" w:rsidRPr="00A96C5B" w:rsidRDefault="002656D9" w:rsidP="0094009B">
            <w:pPr>
              <w:jc w:val="right"/>
            </w:pPr>
            <w:r w:rsidRPr="00A96C5B">
              <w:t xml:space="preserve">    3.9247</w:t>
            </w:r>
          </w:p>
        </w:tc>
      </w:tr>
      <w:tr w:rsidR="002656D9" w:rsidTr="0094009B">
        <w:tc>
          <w:tcPr>
            <w:tcW w:w="1915" w:type="dxa"/>
            <w:shd w:val="clear" w:color="auto" w:fill="D9D9D9" w:themeFill="background1" w:themeFillShade="D9"/>
          </w:tcPr>
          <w:p w:rsidR="002656D9" w:rsidRDefault="002656D9" w:rsidP="0094009B">
            <w:pPr>
              <w:jc w:val="right"/>
            </w:pPr>
            <w:r w:rsidRPr="00D11901">
              <w:t>.09</w:t>
            </w:r>
          </w:p>
        </w:tc>
        <w:tc>
          <w:tcPr>
            <w:tcW w:w="1915" w:type="dxa"/>
            <w:shd w:val="clear" w:color="auto" w:fill="D9D9D9" w:themeFill="background1" w:themeFillShade="D9"/>
          </w:tcPr>
          <w:p w:rsidR="002656D9" w:rsidRDefault="002656D9" w:rsidP="0094009B">
            <w:pPr>
              <w:jc w:val="right"/>
            </w:pPr>
            <w:r>
              <w:t>1.5</w:t>
            </w:r>
          </w:p>
        </w:tc>
        <w:tc>
          <w:tcPr>
            <w:tcW w:w="1915" w:type="dxa"/>
            <w:shd w:val="clear" w:color="auto" w:fill="D9D9D9" w:themeFill="background1" w:themeFillShade="D9"/>
          </w:tcPr>
          <w:p w:rsidR="002656D9" w:rsidRDefault="002656D9" w:rsidP="0094009B">
            <w:pPr>
              <w:jc w:val="right"/>
            </w:pPr>
            <w:r>
              <w:t>.03</w:t>
            </w:r>
          </w:p>
        </w:tc>
        <w:tc>
          <w:tcPr>
            <w:tcW w:w="1915" w:type="dxa"/>
            <w:shd w:val="clear" w:color="auto" w:fill="D9D9D9" w:themeFill="background1" w:themeFillShade="D9"/>
          </w:tcPr>
          <w:p w:rsidR="002656D9" w:rsidRDefault="002656D9" w:rsidP="0094009B">
            <w:pPr>
              <w:jc w:val="right"/>
            </w:pPr>
            <w:r>
              <w:t>.1</w:t>
            </w:r>
          </w:p>
        </w:tc>
        <w:tc>
          <w:tcPr>
            <w:tcW w:w="1916" w:type="dxa"/>
            <w:shd w:val="clear" w:color="auto" w:fill="D9D9D9" w:themeFill="background1" w:themeFillShade="D9"/>
          </w:tcPr>
          <w:p w:rsidR="002656D9" w:rsidRPr="00A96C5B" w:rsidRDefault="002656D9" w:rsidP="0094009B">
            <w:pPr>
              <w:jc w:val="right"/>
            </w:pPr>
            <w:r w:rsidRPr="00A96C5B">
              <w:t xml:space="preserve">    5.2782</w:t>
            </w:r>
          </w:p>
        </w:tc>
      </w:tr>
      <w:tr w:rsidR="002656D9" w:rsidTr="0094009B">
        <w:tc>
          <w:tcPr>
            <w:tcW w:w="1915" w:type="dxa"/>
          </w:tcPr>
          <w:p w:rsidR="002656D9" w:rsidRDefault="002656D9" w:rsidP="0094009B">
            <w:pPr>
              <w:jc w:val="right"/>
            </w:pPr>
            <w:r w:rsidRPr="00D11901">
              <w:t>.09</w:t>
            </w:r>
          </w:p>
        </w:tc>
        <w:tc>
          <w:tcPr>
            <w:tcW w:w="1915" w:type="dxa"/>
          </w:tcPr>
          <w:p w:rsidR="002656D9" w:rsidRDefault="002656D9" w:rsidP="0094009B">
            <w:pPr>
              <w:jc w:val="right"/>
            </w:pPr>
            <w:r>
              <w:t>1.5</w:t>
            </w:r>
          </w:p>
        </w:tc>
        <w:tc>
          <w:tcPr>
            <w:tcW w:w="1915" w:type="dxa"/>
          </w:tcPr>
          <w:p w:rsidR="002656D9" w:rsidRDefault="002656D9" w:rsidP="0094009B">
            <w:pPr>
              <w:jc w:val="right"/>
            </w:pPr>
            <w:r>
              <w:t>.03</w:t>
            </w:r>
          </w:p>
        </w:tc>
        <w:tc>
          <w:tcPr>
            <w:tcW w:w="1915" w:type="dxa"/>
          </w:tcPr>
          <w:p w:rsidR="002656D9" w:rsidRDefault="002656D9" w:rsidP="0094009B">
            <w:pPr>
              <w:jc w:val="right"/>
            </w:pPr>
            <w:r>
              <w:t>.15</w:t>
            </w:r>
          </w:p>
        </w:tc>
        <w:tc>
          <w:tcPr>
            <w:tcW w:w="1916" w:type="dxa"/>
          </w:tcPr>
          <w:p w:rsidR="002656D9" w:rsidRPr="00A96C5B" w:rsidRDefault="002656D9" w:rsidP="0094009B">
            <w:pPr>
              <w:jc w:val="right"/>
            </w:pPr>
            <w:r w:rsidRPr="00A96C5B">
              <w:t xml:space="preserve">    8.2649</w:t>
            </w:r>
          </w:p>
        </w:tc>
      </w:tr>
      <w:tr w:rsidR="002656D9" w:rsidTr="0094009B">
        <w:tc>
          <w:tcPr>
            <w:tcW w:w="1915" w:type="dxa"/>
            <w:shd w:val="clear" w:color="auto" w:fill="D9D9D9" w:themeFill="background1" w:themeFillShade="D9"/>
          </w:tcPr>
          <w:p w:rsidR="002656D9" w:rsidRDefault="002656D9" w:rsidP="0094009B">
            <w:pPr>
              <w:jc w:val="right"/>
            </w:pPr>
            <w:r w:rsidRPr="00D11901">
              <w:t>.09</w:t>
            </w:r>
          </w:p>
        </w:tc>
        <w:tc>
          <w:tcPr>
            <w:tcW w:w="1915" w:type="dxa"/>
            <w:shd w:val="clear" w:color="auto" w:fill="D9D9D9" w:themeFill="background1" w:themeFillShade="D9"/>
          </w:tcPr>
          <w:p w:rsidR="002656D9" w:rsidRDefault="002656D9" w:rsidP="0094009B">
            <w:pPr>
              <w:jc w:val="right"/>
            </w:pPr>
            <w:r>
              <w:t>1.5</w:t>
            </w:r>
          </w:p>
        </w:tc>
        <w:tc>
          <w:tcPr>
            <w:tcW w:w="1915" w:type="dxa"/>
            <w:shd w:val="clear" w:color="auto" w:fill="D9D9D9" w:themeFill="background1" w:themeFillShade="D9"/>
          </w:tcPr>
          <w:p w:rsidR="002656D9" w:rsidRDefault="002656D9" w:rsidP="0094009B">
            <w:pPr>
              <w:jc w:val="right"/>
            </w:pPr>
            <w:r>
              <w:t>.05</w:t>
            </w:r>
          </w:p>
        </w:tc>
        <w:tc>
          <w:tcPr>
            <w:tcW w:w="1915" w:type="dxa"/>
            <w:shd w:val="clear" w:color="auto" w:fill="D9D9D9" w:themeFill="background1" w:themeFillShade="D9"/>
          </w:tcPr>
          <w:p w:rsidR="002656D9" w:rsidRDefault="002656D9" w:rsidP="0094009B">
            <w:pPr>
              <w:jc w:val="right"/>
            </w:pPr>
            <w:r>
              <w:t>.1</w:t>
            </w:r>
          </w:p>
        </w:tc>
        <w:tc>
          <w:tcPr>
            <w:tcW w:w="1916" w:type="dxa"/>
            <w:shd w:val="clear" w:color="auto" w:fill="D9D9D9" w:themeFill="background1" w:themeFillShade="D9"/>
          </w:tcPr>
          <w:p w:rsidR="002656D9" w:rsidRPr="00A96C5B" w:rsidRDefault="002656D9" w:rsidP="0094009B">
            <w:pPr>
              <w:jc w:val="right"/>
            </w:pPr>
            <w:r w:rsidRPr="00A96C5B">
              <w:t xml:space="preserve">    5.4248</w:t>
            </w:r>
          </w:p>
        </w:tc>
      </w:tr>
      <w:tr w:rsidR="002656D9" w:rsidRPr="004C411C" w:rsidTr="0094009B">
        <w:tc>
          <w:tcPr>
            <w:tcW w:w="1915" w:type="dxa"/>
          </w:tcPr>
          <w:p w:rsidR="002656D9" w:rsidRDefault="002656D9" w:rsidP="0094009B">
            <w:pPr>
              <w:jc w:val="right"/>
            </w:pPr>
            <w:r w:rsidRPr="00D11901">
              <w:t>.09</w:t>
            </w:r>
          </w:p>
        </w:tc>
        <w:tc>
          <w:tcPr>
            <w:tcW w:w="1915" w:type="dxa"/>
          </w:tcPr>
          <w:p w:rsidR="002656D9" w:rsidRDefault="002656D9" w:rsidP="0094009B">
            <w:pPr>
              <w:jc w:val="right"/>
            </w:pPr>
            <w:r>
              <w:t>1.5</w:t>
            </w:r>
          </w:p>
        </w:tc>
        <w:tc>
          <w:tcPr>
            <w:tcW w:w="1915" w:type="dxa"/>
          </w:tcPr>
          <w:p w:rsidR="002656D9" w:rsidRDefault="002656D9" w:rsidP="0094009B">
            <w:pPr>
              <w:jc w:val="right"/>
            </w:pPr>
            <w:r>
              <w:t>.05</w:t>
            </w:r>
          </w:p>
        </w:tc>
        <w:tc>
          <w:tcPr>
            <w:tcW w:w="1915" w:type="dxa"/>
          </w:tcPr>
          <w:p w:rsidR="002656D9" w:rsidRDefault="002656D9" w:rsidP="0094009B">
            <w:pPr>
              <w:jc w:val="right"/>
            </w:pPr>
            <w:r>
              <w:t>.15</w:t>
            </w:r>
          </w:p>
        </w:tc>
        <w:tc>
          <w:tcPr>
            <w:tcW w:w="1916" w:type="dxa"/>
          </w:tcPr>
          <w:p w:rsidR="002656D9" w:rsidRPr="00A96C5B" w:rsidRDefault="002656D9" w:rsidP="0094009B">
            <w:pPr>
              <w:jc w:val="right"/>
            </w:pPr>
            <w:r w:rsidRPr="00A96C5B">
              <w:t xml:space="preserve">    7.0073</w:t>
            </w:r>
          </w:p>
        </w:tc>
      </w:tr>
      <w:tr w:rsidR="002656D9" w:rsidTr="0094009B">
        <w:tc>
          <w:tcPr>
            <w:tcW w:w="1915" w:type="dxa"/>
            <w:shd w:val="clear" w:color="auto" w:fill="D9D9D9" w:themeFill="background1" w:themeFillShade="D9"/>
          </w:tcPr>
          <w:p w:rsidR="002656D9" w:rsidRDefault="002656D9" w:rsidP="0094009B">
            <w:pPr>
              <w:jc w:val="right"/>
            </w:pPr>
            <w:r w:rsidRPr="00C15C21">
              <w:t>.11</w:t>
            </w:r>
          </w:p>
        </w:tc>
        <w:tc>
          <w:tcPr>
            <w:tcW w:w="1915" w:type="dxa"/>
            <w:shd w:val="clear" w:color="auto" w:fill="D9D9D9" w:themeFill="background1" w:themeFillShade="D9"/>
          </w:tcPr>
          <w:p w:rsidR="002656D9" w:rsidRDefault="002656D9" w:rsidP="0094009B">
            <w:pPr>
              <w:jc w:val="right"/>
            </w:pPr>
            <w:r>
              <w:t>1.0</w:t>
            </w:r>
          </w:p>
        </w:tc>
        <w:tc>
          <w:tcPr>
            <w:tcW w:w="1915" w:type="dxa"/>
            <w:shd w:val="clear" w:color="auto" w:fill="D9D9D9" w:themeFill="background1" w:themeFillShade="D9"/>
          </w:tcPr>
          <w:p w:rsidR="002656D9" w:rsidRDefault="002656D9" w:rsidP="0094009B">
            <w:pPr>
              <w:jc w:val="right"/>
            </w:pPr>
            <w:r>
              <w:t>.03</w:t>
            </w:r>
          </w:p>
        </w:tc>
        <w:tc>
          <w:tcPr>
            <w:tcW w:w="1915" w:type="dxa"/>
            <w:shd w:val="clear" w:color="auto" w:fill="D9D9D9" w:themeFill="background1" w:themeFillShade="D9"/>
          </w:tcPr>
          <w:p w:rsidR="002656D9" w:rsidRDefault="002656D9" w:rsidP="0094009B">
            <w:pPr>
              <w:jc w:val="right"/>
            </w:pPr>
            <w:r>
              <w:t>.1</w:t>
            </w:r>
          </w:p>
        </w:tc>
        <w:tc>
          <w:tcPr>
            <w:tcW w:w="1916" w:type="dxa"/>
            <w:shd w:val="clear" w:color="auto" w:fill="D9D9D9" w:themeFill="background1" w:themeFillShade="D9"/>
          </w:tcPr>
          <w:p w:rsidR="002656D9" w:rsidRPr="00A96C5B" w:rsidRDefault="002656D9" w:rsidP="0094009B">
            <w:pPr>
              <w:jc w:val="right"/>
            </w:pPr>
            <w:r w:rsidRPr="00A96C5B">
              <w:t xml:space="preserve">    3.4804</w:t>
            </w:r>
          </w:p>
        </w:tc>
      </w:tr>
      <w:tr w:rsidR="002656D9" w:rsidTr="0094009B">
        <w:tc>
          <w:tcPr>
            <w:tcW w:w="1915" w:type="dxa"/>
          </w:tcPr>
          <w:p w:rsidR="002656D9" w:rsidRDefault="002656D9" w:rsidP="0094009B">
            <w:pPr>
              <w:jc w:val="right"/>
            </w:pPr>
            <w:r w:rsidRPr="00C15C21">
              <w:t>.11</w:t>
            </w:r>
          </w:p>
        </w:tc>
        <w:tc>
          <w:tcPr>
            <w:tcW w:w="1915" w:type="dxa"/>
          </w:tcPr>
          <w:p w:rsidR="002656D9" w:rsidRDefault="002656D9" w:rsidP="0094009B">
            <w:pPr>
              <w:jc w:val="right"/>
            </w:pPr>
            <w:r>
              <w:t>1.0</w:t>
            </w:r>
          </w:p>
        </w:tc>
        <w:tc>
          <w:tcPr>
            <w:tcW w:w="1915" w:type="dxa"/>
          </w:tcPr>
          <w:p w:rsidR="002656D9" w:rsidRDefault="002656D9" w:rsidP="0094009B">
            <w:pPr>
              <w:jc w:val="right"/>
            </w:pPr>
            <w:r>
              <w:t>.03</w:t>
            </w:r>
          </w:p>
        </w:tc>
        <w:tc>
          <w:tcPr>
            <w:tcW w:w="1915" w:type="dxa"/>
          </w:tcPr>
          <w:p w:rsidR="002656D9" w:rsidRDefault="002656D9" w:rsidP="0094009B">
            <w:pPr>
              <w:jc w:val="right"/>
            </w:pPr>
            <w:r>
              <w:t>.15</w:t>
            </w:r>
          </w:p>
        </w:tc>
        <w:tc>
          <w:tcPr>
            <w:tcW w:w="1916" w:type="dxa"/>
          </w:tcPr>
          <w:p w:rsidR="002656D9" w:rsidRPr="00A96C5B" w:rsidRDefault="002656D9" w:rsidP="0094009B">
            <w:pPr>
              <w:jc w:val="right"/>
            </w:pPr>
            <w:r w:rsidRPr="00A96C5B">
              <w:t xml:space="preserve">    4.7634</w:t>
            </w:r>
          </w:p>
        </w:tc>
      </w:tr>
      <w:tr w:rsidR="002656D9" w:rsidTr="0094009B">
        <w:tc>
          <w:tcPr>
            <w:tcW w:w="1915" w:type="dxa"/>
            <w:shd w:val="clear" w:color="auto" w:fill="D9D9D9" w:themeFill="background1" w:themeFillShade="D9"/>
          </w:tcPr>
          <w:p w:rsidR="002656D9" w:rsidRDefault="002656D9" w:rsidP="0094009B">
            <w:pPr>
              <w:jc w:val="right"/>
            </w:pPr>
            <w:r w:rsidRPr="00C15C21">
              <w:t>.11</w:t>
            </w:r>
          </w:p>
        </w:tc>
        <w:tc>
          <w:tcPr>
            <w:tcW w:w="1915" w:type="dxa"/>
            <w:shd w:val="clear" w:color="auto" w:fill="D9D9D9" w:themeFill="background1" w:themeFillShade="D9"/>
          </w:tcPr>
          <w:p w:rsidR="002656D9" w:rsidRDefault="002656D9" w:rsidP="0094009B">
            <w:pPr>
              <w:jc w:val="right"/>
            </w:pPr>
            <w:r>
              <w:t>1.0</w:t>
            </w:r>
          </w:p>
        </w:tc>
        <w:tc>
          <w:tcPr>
            <w:tcW w:w="1915" w:type="dxa"/>
            <w:shd w:val="clear" w:color="auto" w:fill="D9D9D9" w:themeFill="background1" w:themeFillShade="D9"/>
          </w:tcPr>
          <w:p w:rsidR="002656D9" w:rsidRDefault="002656D9" w:rsidP="0094009B">
            <w:pPr>
              <w:jc w:val="right"/>
            </w:pPr>
            <w:r>
              <w:t>.05</w:t>
            </w:r>
          </w:p>
        </w:tc>
        <w:tc>
          <w:tcPr>
            <w:tcW w:w="1915" w:type="dxa"/>
            <w:shd w:val="clear" w:color="auto" w:fill="D9D9D9" w:themeFill="background1" w:themeFillShade="D9"/>
          </w:tcPr>
          <w:p w:rsidR="002656D9" w:rsidRDefault="002656D9" w:rsidP="0094009B">
            <w:pPr>
              <w:jc w:val="right"/>
            </w:pPr>
            <w:r>
              <w:t>.1</w:t>
            </w:r>
          </w:p>
        </w:tc>
        <w:tc>
          <w:tcPr>
            <w:tcW w:w="1916" w:type="dxa"/>
            <w:shd w:val="clear" w:color="auto" w:fill="D9D9D9" w:themeFill="background1" w:themeFillShade="D9"/>
          </w:tcPr>
          <w:p w:rsidR="002656D9" w:rsidRPr="00A96C5B" w:rsidRDefault="002656D9" w:rsidP="0094009B">
            <w:pPr>
              <w:jc w:val="right"/>
            </w:pPr>
            <w:r w:rsidRPr="00A96C5B">
              <w:t xml:space="preserve">    3.5423</w:t>
            </w:r>
          </w:p>
        </w:tc>
      </w:tr>
      <w:tr w:rsidR="002656D9" w:rsidTr="0094009B">
        <w:tc>
          <w:tcPr>
            <w:tcW w:w="1915" w:type="dxa"/>
          </w:tcPr>
          <w:p w:rsidR="002656D9" w:rsidRDefault="002656D9" w:rsidP="0094009B">
            <w:pPr>
              <w:jc w:val="right"/>
            </w:pPr>
            <w:r w:rsidRPr="00C15C21">
              <w:t>.11</w:t>
            </w:r>
          </w:p>
        </w:tc>
        <w:tc>
          <w:tcPr>
            <w:tcW w:w="1915" w:type="dxa"/>
          </w:tcPr>
          <w:p w:rsidR="002656D9" w:rsidRDefault="002656D9" w:rsidP="0094009B">
            <w:pPr>
              <w:jc w:val="right"/>
            </w:pPr>
            <w:r>
              <w:t>1.0</w:t>
            </w:r>
          </w:p>
        </w:tc>
        <w:tc>
          <w:tcPr>
            <w:tcW w:w="1915" w:type="dxa"/>
          </w:tcPr>
          <w:p w:rsidR="002656D9" w:rsidRDefault="002656D9" w:rsidP="0094009B">
            <w:pPr>
              <w:jc w:val="right"/>
            </w:pPr>
            <w:r>
              <w:t>.05</w:t>
            </w:r>
          </w:p>
        </w:tc>
        <w:tc>
          <w:tcPr>
            <w:tcW w:w="1915" w:type="dxa"/>
          </w:tcPr>
          <w:p w:rsidR="002656D9" w:rsidRDefault="002656D9" w:rsidP="0094009B">
            <w:pPr>
              <w:jc w:val="right"/>
            </w:pPr>
            <w:r>
              <w:t>.15</w:t>
            </w:r>
          </w:p>
        </w:tc>
        <w:tc>
          <w:tcPr>
            <w:tcW w:w="1916" w:type="dxa"/>
          </w:tcPr>
          <w:p w:rsidR="002656D9" w:rsidRPr="00A96C5B" w:rsidRDefault="002656D9" w:rsidP="0094009B">
            <w:pPr>
              <w:jc w:val="right"/>
            </w:pPr>
            <w:r w:rsidRPr="00A96C5B">
              <w:t xml:space="preserve">    4.4361</w:t>
            </w:r>
          </w:p>
        </w:tc>
      </w:tr>
      <w:tr w:rsidR="002656D9" w:rsidTr="0094009B">
        <w:tc>
          <w:tcPr>
            <w:tcW w:w="1915" w:type="dxa"/>
            <w:shd w:val="clear" w:color="auto" w:fill="D9D9D9" w:themeFill="background1" w:themeFillShade="D9"/>
          </w:tcPr>
          <w:p w:rsidR="002656D9" w:rsidRDefault="002656D9" w:rsidP="0094009B">
            <w:pPr>
              <w:jc w:val="right"/>
            </w:pPr>
            <w:r w:rsidRPr="00C15C21">
              <w:t>.11</w:t>
            </w:r>
          </w:p>
        </w:tc>
        <w:tc>
          <w:tcPr>
            <w:tcW w:w="1915" w:type="dxa"/>
            <w:shd w:val="clear" w:color="auto" w:fill="D9D9D9" w:themeFill="background1" w:themeFillShade="D9"/>
          </w:tcPr>
          <w:p w:rsidR="002656D9" w:rsidRDefault="002656D9" w:rsidP="0094009B">
            <w:pPr>
              <w:jc w:val="right"/>
            </w:pPr>
            <w:r>
              <w:t>1.5</w:t>
            </w:r>
          </w:p>
        </w:tc>
        <w:tc>
          <w:tcPr>
            <w:tcW w:w="1915" w:type="dxa"/>
            <w:shd w:val="clear" w:color="auto" w:fill="D9D9D9" w:themeFill="background1" w:themeFillShade="D9"/>
          </w:tcPr>
          <w:p w:rsidR="002656D9" w:rsidRDefault="002656D9" w:rsidP="0094009B">
            <w:pPr>
              <w:jc w:val="right"/>
            </w:pPr>
            <w:r>
              <w:t>.03</w:t>
            </w:r>
          </w:p>
        </w:tc>
        <w:tc>
          <w:tcPr>
            <w:tcW w:w="1915" w:type="dxa"/>
            <w:shd w:val="clear" w:color="auto" w:fill="D9D9D9" w:themeFill="background1" w:themeFillShade="D9"/>
          </w:tcPr>
          <w:p w:rsidR="002656D9" w:rsidRDefault="002656D9" w:rsidP="0094009B">
            <w:pPr>
              <w:jc w:val="right"/>
            </w:pPr>
            <w:r>
              <w:t>.1</w:t>
            </w:r>
          </w:p>
        </w:tc>
        <w:tc>
          <w:tcPr>
            <w:tcW w:w="1916" w:type="dxa"/>
            <w:shd w:val="clear" w:color="auto" w:fill="D9D9D9" w:themeFill="background1" w:themeFillShade="D9"/>
          </w:tcPr>
          <w:p w:rsidR="002656D9" w:rsidRPr="00A96C5B" w:rsidRDefault="002656D9" w:rsidP="0094009B">
            <w:pPr>
              <w:jc w:val="right"/>
            </w:pPr>
            <w:r w:rsidRPr="00A96C5B">
              <w:t xml:space="preserve">    6.3267</w:t>
            </w:r>
          </w:p>
        </w:tc>
      </w:tr>
      <w:tr w:rsidR="002656D9" w:rsidRPr="004C411C" w:rsidTr="0094009B">
        <w:tc>
          <w:tcPr>
            <w:tcW w:w="1915" w:type="dxa"/>
          </w:tcPr>
          <w:p w:rsidR="002656D9" w:rsidRPr="004C411C" w:rsidRDefault="002656D9" w:rsidP="0094009B">
            <w:pPr>
              <w:jc w:val="right"/>
              <w:rPr>
                <w:color w:val="FF0000"/>
              </w:rPr>
            </w:pPr>
            <w:r w:rsidRPr="004C411C">
              <w:rPr>
                <w:color w:val="FF0000"/>
              </w:rPr>
              <w:t>.11</w:t>
            </w:r>
          </w:p>
        </w:tc>
        <w:tc>
          <w:tcPr>
            <w:tcW w:w="1915" w:type="dxa"/>
          </w:tcPr>
          <w:p w:rsidR="002656D9" w:rsidRPr="004C411C" w:rsidRDefault="002656D9" w:rsidP="0094009B">
            <w:pPr>
              <w:jc w:val="right"/>
              <w:rPr>
                <w:color w:val="FF0000"/>
              </w:rPr>
            </w:pPr>
            <w:r w:rsidRPr="004C411C">
              <w:rPr>
                <w:color w:val="FF0000"/>
              </w:rPr>
              <w:t>1.5</w:t>
            </w:r>
          </w:p>
        </w:tc>
        <w:tc>
          <w:tcPr>
            <w:tcW w:w="1915" w:type="dxa"/>
          </w:tcPr>
          <w:p w:rsidR="002656D9" w:rsidRPr="004C411C" w:rsidRDefault="002656D9" w:rsidP="0094009B">
            <w:pPr>
              <w:jc w:val="right"/>
              <w:rPr>
                <w:color w:val="FF0000"/>
              </w:rPr>
            </w:pPr>
            <w:r w:rsidRPr="004C411C">
              <w:rPr>
                <w:color w:val="FF0000"/>
              </w:rPr>
              <w:t>.03</w:t>
            </w:r>
          </w:p>
        </w:tc>
        <w:tc>
          <w:tcPr>
            <w:tcW w:w="1915" w:type="dxa"/>
          </w:tcPr>
          <w:p w:rsidR="002656D9" w:rsidRPr="004C411C" w:rsidRDefault="002656D9" w:rsidP="0094009B">
            <w:pPr>
              <w:jc w:val="right"/>
              <w:rPr>
                <w:color w:val="FF0000"/>
              </w:rPr>
            </w:pPr>
            <w:r w:rsidRPr="004C411C">
              <w:rPr>
                <w:color w:val="FF0000"/>
              </w:rPr>
              <w:t>.15</w:t>
            </w:r>
          </w:p>
        </w:tc>
        <w:tc>
          <w:tcPr>
            <w:tcW w:w="1916" w:type="dxa"/>
          </w:tcPr>
          <w:p w:rsidR="002656D9" w:rsidRPr="004C411C" w:rsidRDefault="002656D9" w:rsidP="0094009B">
            <w:pPr>
              <w:jc w:val="right"/>
              <w:rPr>
                <w:color w:val="FF0000"/>
              </w:rPr>
            </w:pPr>
            <w:r w:rsidRPr="004C411C">
              <w:rPr>
                <w:color w:val="FF0000"/>
              </w:rPr>
              <w:t xml:space="preserve">   14.4299</w:t>
            </w:r>
          </w:p>
        </w:tc>
      </w:tr>
      <w:tr w:rsidR="002656D9" w:rsidTr="0094009B">
        <w:tc>
          <w:tcPr>
            <w:tcW w:w="1915" w:type="dxa"/>
            <w:shd w:val="clear" w:color="auto" w:fill="D9D9D9" w:themeFill="background1" w:themeFillShade="D9"/>
          </w:tcPr>
          <w:p w:rsidR="002656D9" w:rsidRDefault="002656D9" w:rsidP="0094009B">
            <w:pPr>
              <w:jc w:val="right"/>
            </w:pPr>
            <w:r w:rsidRPr="00C15C21">
              <w:t>.11</w:t>
            </w:r>
          </w:p>
        </w:tc>
        <w:tc>
          <w:tcPr>
            <w:tcW w:w="1915" w:type="dxa"/>
            <w:shd w:val="clear" w:color="auto" w:fill="D9D9D9" w:themeFill="background1" w:themeFillShade="D9"/>
          </w:tcPr>
          <w:p w:rsidR="002656D9" w:rsidRDefault="002656D9" w:rsidP="0094009B">
            <w:pPr>
              <w:jc w:val="right"/>
            </w:pPr>
            <w:r>
              <w:t>1.5</w:t>
            </w:r>
          </w:p>
        </w:tc>
        <w:tc>
          <w:tcPr>
            <w:tcW w:w="1915" w:type="dxa"/>
            <w:shd w:val="clear" w:color="auto" w:fill="D9D9D9" w:themeFill="background1" w:themeFillShade="D9"/>
          </w:tcPr>
          <w:p w:rsidR="002656D9" w:rsidRDefault="002656D9" w:rsidP="0094009B">
            <w:pPr>
              <w:jc w:val="right"/>
            </w:pPr>
            <w:r>
              <w:t>.05</w:t>
            </w:r>
          </w:p>
        </w:tc>
        <w:tc>
          <w:tcPr>
            <w:tcW w:w="1915" w:type="dxa"/>
            <w:shd w:val="clear" w:color="auto" w:fill="D9D9D9" w:themeFill="background1" w:themeFillShade="D9"/>
          </w:tcPr>
          <w:p w:rsidR="002656D9" w:rsidRDefault="002656D9" w:rsidP="0094009B">
            <w:pPr>
              <w:jc w:val="right"/>
            </w:pPr>
            <w:r>
              <w:t>.1</w:t>
            </w:r>
          </w:p>
        </w:tc>
        <w:tc>
          <w:tcPr>
            <w:tcW w:w="1916" w:type="dxa"/>
            <w:shd w:val="clear" w:color="auto" w:fill="D9D9D9" w:themeFill="background1" w:themeFillShade="D9"/>
          </w:tcPr>
          <w:p w:rsidR="002656D9" w:rsidRPr="00A96C5B" w:rsidRDefault="002656D9" w:rsidP="0094009B">
            <w:pPr>
              <w:jc w:val="right"/>
            </w:pPr>
            <w:r w:rsidRPr="00A96C5B">
              <w:t xml:space="preserve">    7.1175</w:t>
            </w:r>
          </w:p>
        </w:tc>
      </w:tr>
      <w:tr w:rsidR="002656D9" w:rsidTr="0094009B">
        <w:tc>
          <w:tcPr>
            <w:tcW w:w="1915" w:type="dxa"/>
          </w:tcPr>
          <w:p w:rsidR="002656D9" w:rsidRDefault="002656D9" w:rsidP="0094009B">
            <w:pPr>
              <w:jc w:val="right"/>
            </w:pPr>
            <w:r w:rsidRPr="00C15C21">
              <w:t>.11</w:t>
            </w:r>
          </w:p>
        </w:tc>
        <w:tc>
          <w:tcPr>
            <w:tcW w:w="1915" w:type="dxa"/>
          </w:tcPr>
          <w:p w:rsidR="002656D9" w:rsidRDefault="002656D9" w:rsidP="0094009B">
            <w:pPr>
              <w:jc w:val="right"/>
            </w:pPr>
            <w:r>
              <w:t>1.5</w:t>
            </w:r>
          </w:p>
        </w:tc>
        <w:tc>
          <w:tcPr>
            <w:tcW w:w="1915" w:type="dxa"/>
          </w:tcPr>
          <w:p w:rsidR="002656D9" w:rsidRDefault="002656D9" w:rsidP="0094009B">
            <w:pPr>
              <w:jc w:val="right"/>
            </w:pPr>
            <w:r>
              <w:t>.05</w:t>
            </w:r>
          </w:p>
        </w:tc>
        <w:tc>
          <w:tcPr>
            <w:tcW w:w="1915" w:type="dxa"/>
          </w:tcPr>
          <w:p w:rsidR="002656D9" w:rsidRDefault="002656D9" w:rsidP="0094009B">
            <w:pPr>
              <w:jc w:val="right"/>
            </w:pPr>
            <w:r>
              <w:t>.15</w:t>
            </w:r>
          </w:p>
        </w:tc>
        <w:tc>
          <w:tcPr>
            <w:tcW w:w="1916" w:type="dxa"/>
          </w:tcPr>
          <w:p w:rsidR="002656D9" w:rsidRDefault="002656D9" w:rsidP="0094009B">
            <w:pPr>
              <w:jc w:val="right"/>
            </w:pPr>
            <w:r w:rsidRPr="00A96C5B">
              <w:t xml:space="preserve">    9.8917</w:t>
            </w:r>
          </w:p>
        </w:tc>
      </w:tr>
    </w:tbl>
    <w:p w:rsidR="002656D9" w:rsidRPr="00A90C32" w:rsidRDefault="002656D9" w:rsidP="002656D9">
      <w:pPr>
        <w:jc w:val="center"/>
        <w:rPr>
          <w:i/>
        </w:rPr>
      </w:pPr>
      <w:r>
        <w:rPr>
          <w:i/>
        </w:rPr>
        <w:t>Table 1: Simulated costs at boundary conditions</w:t>
      </w:r>
    </w:p>
    <w:p w:rsidR="002656D9" w:rsidRDefault="002656D9" w:rsidP="00A90C32"/>
    <w:p w:rsidR="00A90C32" w:rsidRDefault="00A90C32" w:rsidP="00A90C32">
      <w:pPr>
        <w:pStyle w:val="Heading2"/>
      </w:pPr>
      <w:r>
        <w:lastRenderedPageBreak/>
        <w:t>Conclusions</w:t>
      </w:r>
    </w:p>
    <w:p w:rsidR="002656D9" w:rsidRDefault="002656D9" w:rsidP="002656D9">
      <w:r>
        <w:t xml:space="preserve">I could have approached this problem differently and used </w:t>
      </w:r>
      <w:proofErr w:type="gramStart"/>
      <w:r>
        <w:t>a different</w:t>
      </w:r>
      <w:proofErr w:type="gramEnd"/>
      <w:r>
        <w:t xml:space="preserve"> controller architecture, but I chose not to for a few reasons. First, PID controllers are intuitively easy to understand. This makes them easy to tune quickly if an accurate simulation is available. Second, the PID controller is relatively robust with respect to inaccuracies in the simulation. More advanced techniques like pole-zero cancelation and use of notch filters to cancel the effects of system dynamics are highly dependent on accurate knowledge of the system characteristics. Since I have had no access to the system itself, I cannot verify that the simulation is accurate. Even if the simulation is accurate, it has several parameters that can vary. If, for example, the natural frequency of the system varies from 1.0 to 1.5 rad/sec, it would break any controller that attempts to cancel out the system dynamics. A PID controller can be tuned reasonably well, even if the system parameters change slightly.</w:t>
      </w:r>
    </w:p>
    <w:p w:rsidR="00D2616C" w:rsidRDefault="002656D9" w:rsidP="00D2616C">
      <w:r>
        <w:t>One thing that I would change if I were to implement this controller again is that I would revisit the idea of a notch filter to</w:t>
      </w:r>
      <w:r w:rsidR="00D2616C">
        <w:t xml:space="preserve"> attenuate frequencies in the 1 to </w:t>
      </w:r>
      <w:r>
        <w:t xml:space="preserve">1.5 rad/sec range. These frequencies are particularly visible in the worst case </w:t>
      </w:r>
      <w:r w:rsidR="00D2616C">
        <w:t>response, and attenuating them with an appropriately designed notch filter would improve the controller’s tracking ability and greatly reduce the “fuel use” of the vehicle.</w:t>
      </w:r>
    </w:p>
    <w:p w:rsidR="00D2616C" w:rsidRDefault="00D2616C" w:rsidP="00D2616C">
      <w:r>
        <w:t xml:space="preserve">Although my results are not perfect, I think they are nearly as good as can be expected from a PID controller. If the parameters of the system were known perfectly, it would be possible to optimally tune the controller, and </w:t>
      </w:r>
      <w:proofErr w:type="spellStart"/>
      <w:r>
        <w:t>rltool</w:t>
      </w:r>
      <w:proofErr w:type="spellEnd"/>
      <w:r>
        <w:t xml:space="preserve"> has a function to do so. However, the optimally-tuned PID controller operates right at the edge of stability. As a result, it is highly dependent on the accuracy of the system parameters. Varying the system parameters causes the optimally-tuned PID controller to go unstable. Given the range over which the parameters can </w:t>
      </w:r>
      <w:proofErr w:type="gramStart"/>
      <w:r>
        <w:t>vary,</w:t>
      </w:r>
      <w:proofErr w:type="gramEnd"/>
      <w:r>
        <w:t xml:space="preserve"> I am pleased with my controller.</w:t>
      </w:r>
    </w:p>
    <w:p w:rsidR="002656D9" w:rsidRDefault="002656D9" w:rsidP="002656D9"/>
    <w:sectPr w:rsidR="00265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C32"/>
    <w:rsid w:val="00102501"/>
    <w:rsid w:val="00167E2C"/>
    <w:rsid w:val="002656D9"/>
    <w:rsid w:val="002B691C"/>
    <w:rsid w:val="002E7DC0"/>
    <w:rsid w:val="00300536"/>
    <w:rsid w:val="00323873"/>
    <w:rsid w:val="004100A4"/>
    <w:rsid w:val="004C411C"/>
    <w:rsid w:val="005455EB"/>
    <w:rsid w:val="005A30E1"/>
    <w:rsid w:val="006A001E"/>
    <w:rsid w:val="006E31BE"/>
    <w:rsid w:val="007E6806"/>
    <w:rsid w:val="009243B1"/>
    <w:rsid w:val="00A468F6"/>
    <w:rsid w:val="00A90C32"/>
    <w:rsid w:val="00B669CF"/>
    <w:rsid w:val="00BD6FBE"/>
    <w:rsid w:val="00CF546D"/>
    <w:rsid w:val="00D2616C"/>
    <w:rsid w:val="00F33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90C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0C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90C3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90C32"/>
    <w:pPr>
      <w:spacing w:after="0" w:line="240" w:lineRule="auto"/>
    </w:pPr>
  </w:style>
  <w:style w:type="character" w:styleId="PlaceholderText">
    <w:name w:val="Placeholder Text"/>
    <w:basedOn w:val="DefaultParagraphFont"/>
    <w:uiPriority w:val="99"/>
    <w:semiHidden/>
    <w:rsid w:val="00A90C32"/>
    <w:rPr>
      <w:color w:val="808080"/>
    </w:rPr>
  </w:style>
  <w:style w:type="paragraph" w:styleId="BalloonText">
    <w:name w:val="Balloon Text"/>
    <w:basedOn w:val="Normal"/>
    <w:link w:val="BalloonTextChar"/>
    <w:uiPriority w:val="99"/>
    <w:semiHidden/>
    <w:unhideWhenUsed/>
    <w:rsid w:val="00A90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C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90C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0C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90C3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90C32"/>
    <w:pPr>
      <w:spacing w:after="0" w:line="240" w:lineRule="auto"/>
    </w:pPr>
  </w:style>
  <w:style w:type="character" w:styleId="PlaceholderText">
    <w:name w:val="Placeholder Text"/>
    <w:basedOn w:val="DefaultParagraphFont"/>
    <w:uiPriority w:val="99"/>
    <w:semiHidden/>
    <w:rsid w:val="00A90C32"/>
    <w:rPr>
      <w:color w:val="808080"/>
    </w:rPr>
  </w:style>
  <w:style w:type="paragraph" w:styleId="BalloonText">
    <w:name w:val="Balloon Text"/>
    <w:basedOn w:val="Normal"/>
    <w:link w:val="BalloonTextChar"/>
    <w:uiPriority w:val="99"/>
    <w:semiHidden/>
    <w:unhideWhenUsed/>
    <w:rsid w:val="00A90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C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195F0AAB-BECD-4E35-8581-D59DA559B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3</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13</cp:revision>
  <dcterms:created xsi:type="dcterms:W3CDTF">2012-04-24T21:57:00Z</dcterms:created>
  <dcterms:modified xsi:type="dcterms:W3CDTF">2012-04-25T12:23:00Z</dcterms:modified>
</cp:coreProperties>
</file>