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健康管理平台验收操作与答辩话术手册</w:t>
      </w:r>
    </w:p>
    <w:p>
      <w:pPr>
        <w:jc w:val="center"/>
      </w:pPr>
      <w:r>
        <w:rPr>
          <w:i/>
        </w:rPr>
        <w:t>重复使用运载器健康管理原型系统现场验收准备</w:t>
      </w:r>
    </w:p>
    <w:p>
      <w:pPr>
        <w:spacing w:after="100"/>
      </w:pPr>
      <w:r>
        <w:rPr>
          <w:b w:val="0"/>
        </w:rPr>
        <w:t>版本 V1.0｜平台地址：http://127.0.0.1:8000/</w:t>
      </w:r>
    </w:p>
    <w:p>
      <w:pPr>
        <w:spacing w:after="100"/>
      </w:pPr>
      <w:r>
        <w:rPr>
          <w:b w:val="0"/>
        </w:rPr>
        <w:t>本手册按当前代码、已接入算法和甲方测试大纲编写。现场演示时只对已有证据作明确承诺；启动时间、实时延迟、连续运行和真实场地联调应按测试大纲现场实测记录。</w:t>
      </w:r>
    </w:p>
    <w:p>
      <w:pPr>
        <w:pStyle w:val="Heading1"/>
      </w:pPr>
      <w:r>
        <w:t>一 验收总体口径</w:t>
      </w:r>
    </w:p>
    <w:p>
      <w:pPr>
        <w:spacing w:after="100"/>
      </w:pPr>
      <w:r>
        <w:rPr>
          <w:b w:val="0"/>
        </w:rPr>
        <w:t>平台形成“数据接入—预处理—异常告警—故障诊断—健康评估—寿命预测—放行决策—故障重演”的闭环，重点覆盖动力、电源和控制典型系统。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推荐口径</w:t>
            </w:r>
          </w:p>
        </w:tc>
      </w:tr>
      <w:tr>
        <w:tc>
          <w:tcPr>
            <w:tcW w:type="dxa" w:w="5040"/>
          </w:tcPr>
          <w:p>
            <w:r>
              <w:t>核心功能</w:t>
            </w:r>
          </w:p>
        </w:tc>
        <w:tc>
          <w:tcPr>
            <w:tcW w:type="dxa" w:w="5040"/>
          </w:tcPr>
          <w:p>
            <w:r>
              <w:t>已接入并可演示；正式验收仍需现场测试记录。</w:t>
            </w:r>
          </w:p>
        </w:tc>
      </w:tr>
      <w:tr>
        <w:tc>
          <w:tcPr>
            <w:tcW w:type="dxa" w:w="5040"/>
            <w:shd w:fill="F3F6FA"/>
          </w:tcPr>
          <w:p>
            <w:r>
              <w:t>诊断算法</w:t>
            </w:r>
          </w:p>
        </w:tc>
        <w:tc>
          <w:tcPr>
            <w:tcW w:type="dxa" w:w="5040"/>
            <w:shd w:fill="F3F6FA"/>
          </w:tcPr>
          <w:p>
            <w:r>
              <w:t>Hier14、MSFG + TEAMS-RT、PCA–iForest 已接入统一诊断入口。</w:t>
            </w:r>
          </w:p>
        </w:tc>
      </w:tr>
      <w:tr>
        <w:tc>
          <w:tcPr>
            <w:tcW w:type="dxa" w:w="5040"/>
          </w:tcPr>
          <w:p>
            <w:r>
              <w:t>健康评估</w:t>
            </w:r>
          </w:p>
        </w:tc>
        <w:tc>
          <w:tcPr>
            <w:tcW w:type="dxa" w:w="5040"/>
          </w:tcPr>
          <w:p>
            <w:r>
              <w:t>CDPCA-GA、AE-GMM、GCN/RBD 和再飞放行融合路径已提供。</w:t>
            </w:r>
          </w:p>
        </w:tc>
      </w:tr>
      <w:tr>
        <w:tc>
          <w:tcPr>
            <w:tcW w:type="dxa" w:w="5040"/>
            <w:shd w:fill="F3F6FA"/>
          </w:tcPr>
          <w:p>
            <w:r>
              <w:t>寿命预测</w:t>
            </w:r>
          </w:p>
        </w:tc>
        <w:tc>
          <w:tcPr>
            <w:tcW w:type="dxa" w:w="5040"/>
            <w:shd w:fill="F3F6FA"/>
          </w:tcPr>
          <w:p>
            <w:r>
              <w:t>health-main 集成模型和线性 HI 趋势模型已接入。</w:t>
            </w:r>
          </w:p>
        </w:tc>
      </w:tr>
      <w:tr>
        <w:tc>
          <w:tcPr>
            <w:tcW w:type="dxa" w:w="5040"/>
          </w:tcPr>
          <w:p>
            <w:r>
              <w:t>决策性质</w:t>
            </w:r>
          </w:p>
        </w:tc>
        <w:tc>
          <w:tcPr>
            <w:tcW w:type="dxa" w:w="5040"/>
          </w:tcPr>
          <w:p>
            <w:r>
              <w:t>再飞/放行结果是辅助决策，最终由授权人员签署。</w:t>
            </w:r>
          </w:p>
        </w:tc>
      </w:tr>
      <w:tr>
        <w:tc>
          <w:tcPr>
            <w:tcW w:type="dxa" w:w="5040"/>
            <w:shd w:fill="F3F6FA"/>
          </w:tcPr>
          <w:p>
            <w:r>
              <w:t>未闭环证据</w:t>
            </w:r>
          </w:p>
        </w:tc>
        <w:tc>
          <w:tcPr>
            <w:tcW w:type="dxa" w:w="5040"/>
            <w:shd w:fill="F3F6FA"/>
          </w:tcPr>
          <w:p>
            <w:r>
              <w:t>性能实测、真实 MATLAB/Simulink 联调、正式文档和完整测试记录。</w:t>
            </w:r>
          </w:p>
        </w:tc>
      </w:tr>
    </w:tbl>
    <w:p/>
    <w:p>
      <w:pPr>
        <w:pStyle w:val="Heading1"/>
      </w:pPr>
      <w:r>
        <w:t>二 验收前准备</w:t>
      </w:r>
    </w:p>
    <w:p>
      <w:pPr>
        <w:pStyle w:val="ListNumber"/>
      </w:pPr>
      <w:r>
        <w:t>确认 Windows 11、网络和项目目录正常，存在 manage.py、.venv、frontend/dist 和 integrations/algorithm_assets。</w:t>
      </w:r>
    </w:p>
    <w:p>
      <w:pPr>
        <w:pStyle w:val="ListNumber"/>
      </w:pPr>
      <w:r>
        <w:t>使用 start_cmg_platform.bat 启动；手动启动时执行 .venv\Scripts\python.exe manage.py runserver 127.0.0.1:8000 --noreload。</w:t>
      </w:r>
    </w:p>
    <w:p>
      <w:pPr>
        <w:pStyle w:val="ListNumber"/>
      </w:pPr>
      <w:r>
        <w:t>打开 http://127.0.0.1:8000/，使用管理员账号登录；另准备一个查看账号验证权限。</w:t>
      </w:r>
    </w:p>
    <w:p>
      <w:pPr>
        <w:pStyle w:val="ListNumber"/>
      </w:pPr>
      <w:r>
        <w:t>确认综合态势页显示 Hier14、健康评估、仿真数据和模型状态。</w:t>
      </w:r>
    </w:p>
    <w:p>
      <w:pPr>
        <w:pStyle w:val="ListNumber"/>
      </w:pPr>
      <w:r>
        <w:t>准备动力故障 CSV、电源故障 CSV 和含 HI_norm 的 RUL 数据集。</w:t>
      </w:r>
    </w:p>
    <w:p>
      <w:pPr>
        <w:pStyle w:val="ListNumber"/>
      </w:pPr>
      <w:r>
        <w:t>准备 MATLAB 采集脚本、接口地址和一次性令牌。</w:t>
      </w:r>
    </w:p>
    <w:p>
      <w:pPr>
        <w:pStyle w:val="ListNumber"/>
      </w:pPr>
      <w:r>
        <w:t>演示前清理无关测试记录，仅保留代表性数据。</w:t>
      </w:r>
    </w:p>
    <w:p>
      <w:pPr>
        <w:pStyle w:val="Heading1"/>
      </w:pPr>
      <w:r>
        <w:t>三 推荐演示顺序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顺序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综合态势</w:t>
            </w:r>
          </w:p>
        </w:tc>
        <w:tc>
          <w:tcPr>
            <w:tcW w:type="dxa" w:w="2520"/>
          </w:tcPr>
          <w:p>
            <w:r>
              <w:t>刷新平台状态</w:t>
            </w:r>
          </w:p>
        </w:tc>
        <w:tc>
          <w:tcPr>
            <w:tcW w:type="dxa" w:w="2520"/>
          </w:tcPr>
          <w:p>
            <w:r>
              <w:t>能力链和算法状态</w:t>
            </w:r>
          </w:p>
        </w:tc>
      </w:tr>
      <w:tr>
        <w:tc>
          <w:tcPr>
            <w:tcW w:type="dxa" w:w="2520"/>
            <w:shd w:fill="F3F6FA"/>
          </w:tcPr>
          <w:p>
            <w:r>
              <w:t>2</w:t>
            </w:r>
          </w:p>
        </w:tc>
        <w:tc>
          <w:tcPr>
            <w:tcW w:type="dxa" w:w="2520"/>
            <w:shd w:fill="F3F6FA"/>
          </w:tcPr>
          <w:p>
            <w:r>
              <w:t>数据管理</w:t>
            </w:r>
          </w:p>
        </w:tc>
        <w:tc>
          <w:tcPr>
            <w:tcW w:type="dxa" w:w="2520"/>
            <w:shd w:fill="F3F6FA"/>
          </w:tcPr>
          <w:p>
            <w:r>
              <w:t>查看、下载、删除数据集</w:t>
            </w:r>
          </w:p>
        </w:tc>
        <w:tc>
          <w:tcPr>
            <w:tcW w:type="dxa" w:w="2520"/>
            <w:shd w:fill="F3F6FA"/>
          </w:tcPr>
          <w:p>
            <w:r>
              <w:t>元数据和删除同步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故障数据集</w:t>
            </w:r>
          </w:p>
        </w:tc>
        <w:tc>
          <w:tcPr>
            <w:tcW w:type="dxa" w:w="2520"/>
          </w:tcPr>
          <w:p>
            <w:r>
              <w:t>选择动力/电源故障并生成</w:t>
            </w:r>
          </w:p>
        </w:tc>
        <w:tc>
          <w:tcPr>
            <w:tcW w:type="dxa" w:w="2520"/>
          </w:tcPr>
          <w:p>
            <w:r>
              <w:t>CSV、告警、诊断、HI、RUL</w:t>
            </w:r>
          </w:p>
        </w:tc>
      </w:tr>
      <w:tr>
        <w:tc>
          <w:tcPr>
            <w:tcW w:type="dxa" w:w="2520"/>
            <w:shd w:fill="F3F6FA"/>
          </w:tcPr>
          <w:p>
            <w:r>
              <w:t>4</w:t>
            </w:r>
          </w:p>
        </w:tc>
        <w:tc>
          <w:tcPr>
            <w:tcW w:type="dxa" w:w="2520"/>
            <w:shd w:fill="F3F6FA"/>
          </w:tcPr>
          <w:p>
            <w:r>
              <w:t>故障诊断</w:t>
            </w:r>
          </w:p>
        </w:tc>
        <w:tc>
          <w:tcPr>
            <w:tcW w:type="dxa" w:w="2520"/>
            <w:shd w:fill="F3F6FA"/>
          </w:tcPr>
          <w:p>
            <w:r>
              <w:t>分别运行三种算法</w:t>
            </w:r>
          </w:p>
        </w:tc>
        <w:tc>
          <w:tcPr>
            <w:tcW w:type="dxa" w:w="2520"/>
            <w:shd w:fill="F3F6FA"/>
          </w:tcPr>
          <w:p>
            <w:r>
              <w:t>类别、概率、窗口、证据/D矩阵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健康评估</w:t>
            </w:r>
          </w:p>
        </w:tc>
        <w:tc>
          <w:tcPr>
            <w:tcW w:type="dxa" w:w="2520"/>
          </w:tcPr>
          <w:p>
            <w:r>
              <w:t>运行 CDPCA-GA/AE-GMM/GCN-RBD</w:t>
            </w:r>
          </w:p>
        </w:tc>
        <w:tc>
          <w:tcPr>
            <w:tcW w:type="dxa" w:w="2520"/>
          </w:tcPr>
          <w:p>
            <w:r>
              <w:t>部件和系统 HI</w:t>
            </w:r>
          </w:p>
        </w:tc>
      </w:tr>
      <w:tr>
        <w:tc>
          <w:tcPr>
            <w:tcW w:type="dxa" w:w="2520"/>
            <w:shd w:fill="F3F6FA"/>
          </w:tcPr>
          <w:p>
            <w:r>
              <w:t>6</w:t>
            </w:r>
          </w:p>
        </w:tc>
        <w:tc>
          <w:tcPr>
            <w:tcW w:type="dxa" w:w="2520"/>
            <w:shd w:fill="F3F6FA"/>
          </w:tcPr>
          <w:p>
            <w:r>
              <w:t>寿命预测</w:t>
            </w:r>
          </w:p>
        </w:tc>
        <w:tc>
          <w:tcPr>
            <w:tcW w:type="dxa" w:w="2520"/>
            <w:shd w:fill="F3F6FA"/>
          </w:tcPr>
          <w:p>
            <w:r>
              <w:t>选择有效 HI 数据运行 RUL</w:t>
            </w:r>
          </w:p>
        </w:tc>
        <w:tc>
          <w:tcPr>
            <w:tcW w:type="dxa" w:w="2520"/>
            <w:shd w:fill="F3F6FA"/>
          </w:tcPr>
          <w:p>
            <w:r>
              <w:t>RUL、趋势、模型来源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FTA/FMECA</w:t>
            </w:r>
          </w:p>
        </w:tc>
        <w:tc>
          <w:tcPr>
            <w:tcW w:type="dxa" w:w="2520"/>
          </w:tcPr>
          <w:p>
            <w:r>
              <w:t>查看逻辑树和测试样例</w:t>
            </w:r>
          </w:p>
        </w:tc>
        <w:tc>
          <w:tcPr>
            <w:tcW w:type="dxa" w:w="2520"/>
          </w:tcPr>
          <w:p>
            <w:r>
              <w:t>节点、AND/OR、边、风险记录</w:t>
            </w:r>
          </w:p>
        </w:tc>
      </w:tr>
      <w:tr>
        <w:tc>
          <w:tcPr>
            <w:tcW w:type="dxa" w:w="2520"/>
            <w:shd w:fill="F3F6FA"/>
          </w:tcPr>
          <w:p>
            <w:r>
              <w:t>8</w:t>
            </w:r>
          </w:p>
        </w:tc>
        <w:tc>
          <w:tcPr>
            <w:tcW w:type="dxa" w:w="2520"/>
            <w:shd w:fill="F3F6FA"/>
          </w:tcPr>
          <w:p>
            <w:r>
              <w:t>MATLAB 实时采集</w:t>
            </w:r>
          </w:p>
        </w:tc>
        <w:tc>
          <w:tcPr>
            <w:tcW w:type="dxa" w:w="2520"/>
            <w:shd w:fill="F3F6FA"/>
          </w:tcPr>
          <w:p>
            <w:r>
              <w:t>创建会话并让 MATLAB 上报</w:t>
            </w:r>
          </w:p>
        </w:tc>
        <w:tc>
          <w:tcPr>
            <w:tcW w:type="dxa" w:w="2520"/>
            <w:shd w:fill="F3F6FA"/>
          </w:tcPr>
          <w:p>
            <w:r>
              <w:t>实时曲线、样本和告警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再飞放行</w:t>
            </w:r>
          </w:p>
        </w:tc>
        <w:tc>
          <w:tcPr>
            <w:tcW w:type="dxa" w:w="2520"/>
          </w:tcPr>
          <w:p>
            <w:r>
              <w:t>输入 HI、寿命裕度和告警数</w:t>
            </w:r>
          </w:p>
        </w:tc>
        <w:tc>
          <w:tcPr>
            <w:tcW w:type="dxa" w:w="2520"/>
          </w:tcPr>
          <w:p>
            <w:r>
              <w:t>系统 HI、成功概率、阻断项</w:t>
            </w:r>
          </w:p>
        </w:tc>
      </w:tr>
      <w:tr>
        <w:tc>
          <w:tcPr>
            <w:tcW w:type="dxa" w:w="2520"/>
            <w:shd w:fill="F3F6FA"/>
          </w:tcPr>
          <w:p>
            <w:r>
              <w:t>10</w:t>
            </w:r>
          </w:p>
        </w:tc>
        <w:tc>
          <w:tcPr>
            <w:tcW w:type="dxa" w:w="2520"/>
            <w:shd w:fill="F3F6FA"/>
          </w:tcPr>
          <w:p>
            <w:r>
              <w:t>故障重演</w:t>
            </w:r>
          </w:p>
        </w:tc>
        <w:tc>
          <w:tcPr>
            <w:tcW w:type="dxa" w:w="2520"/>
            <w:shd w:fill="F3F6FA"/>
          </w:tcPr>
          <w:p>
            <w:r>
              <w:t>选择事件并播放</w:t>
            </w:r>
          </w:p>
        </w:tc>
        <w:tc>
          <w:tcPr>
            <w:tcW w:type="dxa" w:w="2520"/>
            <w:shd w:fill="F3F6FA"/>
          </w:tcPr>
          <w:p>
            <w:r>
              <w:t>时间窗口曲线和表格</w:t>
            </w:r>
          </w:p>
        </w:tc>
      </w:tr>
    </w:tbl>
    <w:p/>
    <w:p>
      <w:pPr>
        <w:pStyle w:val="Heading1"/>
      </w:pPr>
      <w:r>
        <w:t>四 关键操作与话术</w:t>
      </w:r>
    </w:p>
    <w:p>
      <w:pPr>
        <w:pStyle w:val="Heading2"/>
      </w:pPr>
      <w:r>
        <w:t>4.1 数据处理和数据集</w:t>
      </w:r>
    </w:p>
    <w:p>
      <w:pPr>
        <w:spacing w:after="100"/>
      </w:pPr>
      <w:r>
        <w:rPr>
          <w:b w:val="0"/>
        </w:rPr>
        <w:t>操作：进入“数据管理”，查看来源、故障类型、注入时间、系统和部件；下载 CSV；管理员删除一条并确认列表立即消失。</w:t>
      </w:r>
    </w:p>
    <w:p>
      <w:pPr>
        <w:spacing w:after="100"/>
      </w:pPr>
      <w:r>
        <w:rPr>
          <w:b w:val="0"/>
        </w:rPr>
        <w:t>话术：“元数据和 CSV 文件绑定保存。删除由后端执行，成功后前端按数据集 ID 立即移除并重新核对，避免数据库和页面不一致。”</w:t>
      </w:r>
    </w:p>
    <w:p>
      <w:pPr>
        <w:pStyle w:val="Heading2"/>
      </w:pPr>
      <w:r>
        <w:t>4.2 故障注入、告警和诊断</w:t>
      </w:r>
    </w:p>
    <w:p>
      <w:pPr>
        <w:spacing w:after="100"/>
      </w:pPr>
      <w:r>
        <w:rPr>
          <w:b w:val="0"/>
        </w:rPr>
        <w:t>操作：进入“实时故障注入与自动诊断”，选择动力/电源/控制、故障模式、注入时刻和严重度，创建任务并播放。</w:t>
      </w:r>
    </w:p>
    <w:p>
      <w:pPr>
        <w:spacing w:after="100"/>
      </w:pPr>
      <w:r>
        <w:rPr>
          <w:b w:val="0"/>
        </w:rPr>
        <w:t>话术：“注入器生成带时间和真值的数据，并按注入时刻触发监测。告警、诊断、隔离、健康评估、RUL 和发布结果属于同一任务上下文，可追溯。”</w:t>
      </w:r>
    </w:p>
    <w:p>
      <w:pPr>
        <w:spacing w:after="100"/>
      </w:pPr>
      <w:r>
        <w:rPr>
          <w:b w:val="0"/>
        </w:rPr>
        <w:t>典型模式：动力泄漏、动力泵效率下降、电源母线欠压、电池容量衰减、控制传感器偏置、控制执行器迟滞。</w:t>
      </w:r>
    </w:p>
    <w:p>
      <w:pPr>
        <w:pStyle w:val="Heading2"/>
      </w:pPr>
      <w:r>
        <w:t>4.3 三种诊断算法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算法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主要作用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输出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边界</w:t>
            </w:r>
          </w:p>
        </w:tc>
      </w:tr>
      <w:tr>
        <w:tc>
          <w:tcPr>
            <w:tcW w:type="dxa" w:w="2520"/>
          </w:tcPr>
          <w:p>
            <w:r>
              <w:t>Hier14</w:t>
            </w:r>
          </w:p>
        </w:tc>
        <w:tc>
          <w:tcPr>
            <w:tcW w:type="dxa" w:w="2520"/>
          </w:tcPr>
          <w:p>
            <w:r>
              <w:t>层次时序诊断</w:t>
            </w:r>
          </w:p>
        </w:tc>
        <w:tc>
          <w:tcPr>
            <w:tcW w:type="dxa" w:w="2520"/>
          </w:tcPr>
          <w:p>
            <w:r>
              <w:t>类别、窗口概率和聚合结果</w:t>
            </w:r>
          </w:p>
        </w:tc>
        <w:tc>
          <w:tcPr>
            <w:tcW w:type="dxa" w:w="2520"/>
          </w:tcPr>
          <w:p>
            <w:r>
              <w:t>需符合模型字段的 CSV</w:t>
            </w:r>
          </w:p>
        </w:tc>
      </w:tr>
      <w:tr>
        <w:tc>
          <w:tcPr>
            <w:tcW w:type="dxa" w:w="2520"/>
            <w:shd w:fill="F3F6FA"/>
          </w:tcPr>
          <w:p>
            <w:r>
              <w:t>MSFG + TEAMS-RT</w:t>
            </w:r>
          </w:p>
        </w:tc>
        <w:tc>
          <w:tcPr>
            <w:tcW w:type="dxa" w:w="2520"/>
            <w:shd w:fill="F3F6FA"/>
          </w:tcPr>
          <w:p>
            <w:r>
              <w:t>D矩阵关联定位</w:t>
            </w:r>
          </w:p>
        </w:tc>
        <w:tc>
          <w:tcPr>
            <w:tcW w:type="dxa" w:w="2520"/>
            <w:shd w:fill="F3F6FA"/>
          </w:tcPr>
          <w:p>
            <w:r>
              <w:t>诊断集合、测点证据、候选故障</w:t>
            </w:r>
          </w:p>
        </w:tc>
        <w:tc>
          <w:tcPr>
            <w:tcW w:type="dxa" w:w="2520"/>
            <w:shd w:fill="F3F6FA"/>
          </w:tcPr>
          <w:p>
            <w:r>
              <w:t>解释关联，不等同深度分类</w:t>
            </w:r>
          </w:p>
        </w:tc>
      </w:tr>
      <w:tr>
        <w:tc>
          <w:tcPr>
            <w:tcW w:type="dxa" w:w="2520"/>
          </w:tcPr>
          <w:p>
            <w:r>
              <w:t>PCA–iForest</w:t>
            </w:r>
          </w:p>
        </w:tc>
        <w:tc>
          <w:tcPr>
            <w:tcW w:type="dxa" w:w="2520"/>
          </w:tcPr>
          <w:p>
            <w:r>
              <w:t>无监督异常筛查</w:t>
            </w:r>
          </w:p>
        </w:tc>
        <w:tc>
          <w:tcPr>
            <w:tcW w:type="dxa" w:w="2520"/>
          </w:tcPr>
          <w:p>
            <w:r>
              <w:t>异常窗口、得分、PCA载荷</w:t>
            </w:r>
          </w:p>
        </w:tc>
        <w:tc>
          <w:tcPr>
            <w:tcW w:type="dxa" w:w="2520"/>
          </w:tcPr>
          <w:p>
            <w:r>
              <w:t>异常程度不等同具体故障概率</w:t>
            </w:r>
          </w:p>
        </w:tc>
      </w:tr>
    </w:tbl>
    <w:p/>
    <w:p>
      <w:pPr>
        <w:spacing w:after="100"/>
      </w:pPr>
      <w:r>
        <w:rPr>
          <w:b w:val="0"/>
        </w:rPr>
        <w:t>话术：“三种方法不是混成一个黑盒分数，而是按任务选择：Hier14 偏时序分类，MSFG + TEAMS-RT 偏可解释定位，PCA–iForest 偏异常筛查。”</w:t>
      </w:r>
    </w:p>
    <w:p>
      <w:pPr>
        <w:pStyle w:val="Heading2"/>
      </w:pPr>
      <w:r>
        <w:t>4.4 健康评估和 RUL</w:t>
      </w:r>
    </w:p>
    <w:p>
      <w:pPr>
        <w:spacing w:after="100"/>
      </w:pPr>
      <w:r>
        <w:rPr>
          <w:b w:val="0"/>
        </w:rPr>
        <w:t>健康评估选择数据集和算法后查看 HI 序列及趋势。RUL 预测要求 CSV 含 HI_norm、HI 或 health_index；health-main 集成模型至少需要 51 行 HI。</w:t>
      </w:r>
    </w:p>
    <w:p>
      <w:pPr>
        <w:spacing w:after="100"/>
      </w:pPr>
      <w:r>
        <w:rPr>
          <w:b w:val="0"/>
        </w:rPr>
        <w:t>话术：“健康指数是寿命预测的上游证据。没有有效 HI 的压力、温度原始数据不能直接冒充 RUL 输入。模型单位继承训练数据定义，未标定前不换算成小时或飞行次数。”</w:t>
      </w:r>
    </w:p>
    <w:p>
      <w:pPr>
        <w:pStyle w:val="Heading2"/>
      </w:pPr>
      <w:r>
        <w:t>4.5 FTA 与 FMECA</w:t>
      </w:r>
    </w:p>
    <w:p>
      <w:pPr>
        <w:spacing w:after="100"/>
      </w:pPr>
      <w:r>
        <w:rPr>
          <w:b w:val="0"/>
        </w:rPr>
        <w:t>FTA 展示顶事件、基本事件、AND/OR 逻辑门和边关系；保存后重新加载，验证持久化。FMECA 空库首次进入会生成动力、电源和控制测试样例，编辑后点击“保存全部”。</w:t>
      </w:r>
    </w:p>
    <w:p>
      <w:pPr>
        <w:spacing w:after="100"/>
      </w:pPr>
      <w:r>
        <w:rPr>
          <w:b w:val="0"/>
        </w:rPr>
        <w:t>话术：“FTA 描述故障如何由下层事件组合形成，FMECA 描述故障模式、原因、影响和风险，两者共同支撑诊断解释和维护分析。”</w:t>
      </w:r>
    </w:p>
    <w:p>
      <w:pPr>
        <w:pStyle w:val="Heading2"/>
      </w:pPr>
      <w:r>
        <w:t>4.6 MATLAB 实时采集</w:t>
      </w:r>
    </w:p>
    <w:p>
      <w:pPr>
        <w:pStyle w:val="ListNumber"/>
      </w:pPr>
      <w:r>
        <w:t>管理员在“状态监测—遥测数据监测”选择 MATLAB 实时采集。</w:t>
      </w:r>
    </w:p>
    <w:p>
      <w:pPr>
        <w:pStyle w:val="ListNumber"/>
      </w:pPr>
      <w:r>
        <w:t>创建采集会话并复制一次性 Bearer Token 和上报地址。</w:t>
      </w:r>
    </w:p>
    <w:p>
      <w:pPr>
        <w:pStyle w:val="ListNumber"/>
      </w:pPr>
      <w:r>
        <w:t>MATLAB 加入 integrations/matlab 路径，调用 phm_send_telemetry 或 demo_realtime_fault_injection。</w:t>
      </w:r>
    </w:p>
    <w:p>
      <w:pPr>
        <w:pStyle w:val="ListNumber"/>
      </w:pPr>
      <w:r>
        <w:t>页面选择该会话，观察样本数和趋势。</w:t>
      </w:r>
    </w:p>
    <w:p>
      <w:pPr>
        <w:pStyle w:val="ListNumber"/>
      </w:pPr>
      <w:r>
        <w:t>异常告警中心选择同一会话并打开实时检测。</w:t>
      </w:r>
    </w:p>
    <w:p>
      <w:pPr>
        <w:pStyle w:val="ListNumber"/>
      </w:pPr>
      <w:r>
        <w:t>结束采集后导出 CSV，再进入故障诊断。</w:t>
      </w:r>
    </w:p>
    <w:p>
      <w:pPr>
        <w:spacing w:after="100"/>
      </w:pPr>
      <w:r>
        <w:rPr>
          <w:b w:val="0"/>
        </w:rPr>
        <w:t>话术：“实时采集是会话级 HTTP 接入。平台校验字段、时间递增和数值有效性后持久化，再执行实时规则检测。”</w:t>
      </w:r>
    </w:p>
    <w:p>
      <w:pPr>
        <w:spacing w:after="100"/>
      </w:pPr>
      <w:r>
        <w:rPr>
          <w:b w:val="0"/>
        </w:rPr>
        <w:t>注意：同一会话字段必须一致，time 必须严格递增；远程 MATLAB 将 127.0.0.1 改为平台服务器 IP。</w:t>
      </w:r>
    </w:p>
    <w:p>
      <w:pPr>
        <w:pStyle w:val="Heading2"/>
      </w:pPr>
      <w:r>
        <w:t>4.7 再飞与放行评估</w:t>
      </w:r>
    </w:p>
    <w:p>
      <w:pPr>
        <w:spacing w:after="100"/>
      </w:pPr>
      <w:r>
        <w:rPr>
          <w:b w:val="0"/>
        </w:rPr>
        <w:t>输入动力、电源、测控、导航制导与控制、结构 HI，寿命裕度、严重告警数和放行阈值。</w:t>
      </w:r>
    </w:p>
    <w:p>
      <w:pPr>
        <w:spacing w:after="100"/>
      </w:pPr>
      <w:r>
        <w:rPr>
          <w:b w:val="0"/>
        </w:rPr>
        <w:t>话术：“系统先计算加权健康度和 RBD 等效健康度，再融合量纲适配后的 RF 结果。子系统低于最低阈值、存在严重告警或成功概率低于阈值时暂缓放行。结果是辅助决策，最终由授权人员签署。”</w:t>
      </w:r>
    </w:p>
    <w:p>
      <w:pPr>
        <w:pStyle w:val="Heading1"/>
      </w:pPr>
      <w:r>
        <w:t>五 甲方常见提问和建议回答</w:t>
      </w:r>
    </w:p>
    <w:p>
      <w:pPr>
        <w:spacing w:after="100"/>
      </w:pPr>
      <w:r>
        <w:rPr>
          <w:b/>
        </w:rPr>
        <w:t>甲方：数据是真实飞行数据吗？</w:t>
      </w:r>
    </w:p>
    <w:p>
      <w:pPr>
        <w:spacing w:after="100"/>
      </w:pPr>
      <w:r>
        <w:rPr>
          <w:b w:val="0"/>
        </w:rPr>
        <w:t>建议答：演示数据区分仿真、离线和实时来源，主要用于联调和回归；甲方真实数据可按相同接口接入。</w:t>
      </w:r>
    </w:p>
    <w:p>
      <w:pPr>
        <w:spacing w:after="100"/>
      </w:pPr>
      <w:r>
        <w:rPr>
          <w:b/>
        </w:rPr>
        <w:t>甲方：诊断算法用了哪一个？</w:t>
      </w:r>
    </w:p>
    <w:p>
      <w:pPr>
        <w:spacing w:after="100"/>
      </w:pPr>
      <w:r>
        <w:rPr>
          <w:b w:val="0"/>
        </w:rPr>
        <w:t>建议答：统一入口支持三种算法，分别承担时序分类、关联定位和异常筛查。</w:t>
      </w:r>
    </w:p>
    <w:p>
      <w:pPr>
        <w:spacing w:after="100"/>
      </w:pPr>
      <w:r>
        <w:rPr>
          <w:b/>
        </w:rPr>
        <w:t>甲方：准确率是多少？</w:t>
      </w:r>
    </w:p>
    <w:p>
      <w:pPr>
        <w:spacing w:after="100"/>
      </w:pPr>
      <w:r>
        <w:rPr>
          <w:b w:val="0"/>
        </w:rPr>
        <w:t>建议答：需用甲方确认的标注集和统一口径现场统计，没有标注集不编造数值。</w:t>
      </w:r>
    </w:p>
    <w:p>
      <w:pPr>
        <w:spacing w:after="100"/>
      </w:pPr>
      <w:r>
        <w:rPr>
          <w:b/>
        </w:rPr>
        <w:t>甲方：RUL单位是什么？</w:t>
      </w:r>
    </w:p>
    <w:p>
      <w:pPr>
        <w:spacing w:after="100"/>
      </w:pPr>
      <w:r>
        <w:rPr>
          <w:b w:val="0"/>
        </w:rPr>
        <w:t>建议答：继承训练数据定义；线性趋势模型单位是样本间隔，未标定不写成小时。</w:t>
      </w:r>
    </w:p>
    <w:p>
      <w:pPr>
        <w:spacing w:after="100"/>
      </w:pPr>
      <w:r>
        <w:rPr>
          <w:b/>
        </w:rPr>
        <w:t>甲方：MATLAB怎么接入？</w:t>
      </w:r>
    </w:p>
    <w:p>
      <w:pPr>
        <w:spacing w:after="100"/>
      </w:pPr>
      <w:r>
        <w:rPr>
          <w:b w:val="0"/>
        </w:rPr>
        <w:t>建议答：管理员创建会话获取地址和令牌，MATLAB通过 phm_send_telemetry 批量上报。</w:t>
      </w:r>
    </w:p>
    <w:p>
      <w:pPr>
        <w:spacing w:after="100"/>
      </w:pPr>
      <w:r>
        <w:rPr>
          <w:b/>
        </w:rPr>
        <w:t>甲方：实时告警为何没有？</w:t>
      </w:r>
    </w:p>
    <w:p>
      <w:pPr>
        <w:spacing w:after="100"/>
      </w:pPr>
      <w:r>
        <w:rPr>
          <w:b w:val="0"/>
        </w:rPr>
        <w:t>建议答：检查是否选择同一会话并打开实时检测，再检查字段名和规则阈值。</w:t>
      </w:r>
    </w:p>
    <w:p>
      <w:pPr>
        <w:spacing w:after="100"/>
      </w:pPr>
      <w:r>
        <w:rPr>
          <w:b/>
        </w:rPr>
        <w:t>甲方：FTA和FMECA区别？</w:t>
      </w:r>
    </w:p>
    <w:p>
      <w:pPr>
        <w:spacing w:after="100"/>
      </w:pPr>
      <w:r>
        <w:rPr>
          <w:b w:val="0"/>
        </w:rPr>
        <w:t>建议答：FTA关注逻辑组合和传播，FMECA关注模式、原因、影响和风险。</w:t>
      </w:r>
    </w:p>
    <w:p>
      <w:pPr>
        <w:spacing w:after="100"/>
      </w:pPr>
      <w:r>
        <w:rPr>
          <w:b/>
        </w:rPr>
        <w:t>甲方：能保证一秒刷新吗？</w:t>
      </w:r>
    </w:p>
    <w:p>
      <w:pPr>
        <w:spacing w:after="100"/>
      </w:pPr>
      <w:r>
        <w:rPr>
          <w:b w:val="0"/>
        </w:rPr>
        <w:t>建议答：系统按批量接收和轮询设计，合同指标需在现场用时间戳实测并记录。</w:t>
      </w:r>
    </w:p>
    <w:p>
      <w:pPr>
        <w:spacing w:after="100"/>
      </w:pPr>
      <w:r>
        <w:rPr>
          <w:b/>
        </w:rPr>
        <w:t>甲方：是否全部验收通过？</w:t>
      </w:r>
    </w:p>
    <w:p>
      <w:pPr>
        <w:spacing w:after="100"/>
      </w:pPr>
      <w:r>
        <w:rPr>
          <w:b w:val="0"/>
        </w:rPr>
        <w:t>建议答：核心功能已完成开发回归；正式验收还需现场性能、真实联调、文档齐套和测试记录签署。</w:t>
      </w:r>
    </w:p>
    <w:p>
      <w:pPr>
        <w:pStyle w:val="Heading1"/>
      </w:pPr>
      <w:r>
        <w:t>六 现场测试记录要点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测试项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记录内容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通过依据</w:t>
            </w:r>
          </w:p>
        </w:tc>
      </w:tr>
      <w:tr>
        <w:tc>
          <w:tcPr>
            <w:tcW w:type="dxa" w:w="3360"/>
          </w:tcPr>
          <w:p>
            <w:r>
              <w:t>启动性能</w:t>
            </w:r>
          </w:p>
        </w:tc>
        <w:tc>
          <w:tcPr>
            <w:tcW w:type="dxa" w:w="3360"/>
          </w:tcPr>
          <w:p>
            <w:r>
              <w:t>启动脚本到进入工作界面的开始/结束时间，重复3次</w:t>
            </w:r>
          </w:p>
        </w:tc>
        <w:tc>
          <w:tcPr>
            <w:tcW w:type="dxa" w:w="3360"/>
          </w:tcPr>
          <w:p>
            <w:r>
              <w:t>每次不超过60秒</w:t>
            </w:r>
          </w:p>
        </w:tc>
      </w:tr>
      <w:tr>
        <w:tc>
          <w:tcPr>
            <w:tcW w:type="dxa" w:w="3360"/>
            <w:shd w:fill="F3F6FA"/>
          </w:tcPr>
          <w:p>
            <w:r>
              <w:t>实时刷新</w:t>
            </w:r>
          </w:p>
        </w:tc>
        <w:tc>
          <w:tcPr>
            <w:tcW w:type="dxa" w:w="3360"/>
            <w:shd w:fill="F3F6FA"/>
          </w:tcPr>
          <w:p>
            <w:r>
              <w:t>发送、入库、页面显示时间及样本数</w:t>
            </w:r>
          </w:p>
        </w:tc>
        <w:tc>
          <w:tcPr>
            <w:tcW w:type="dxa" w:w="3360"/>
            <w:shd w:fill="F3F6FA"/>
          </w:tcPr>
          <w:p>
            <w:r>
              <w:t>按大纲统计平均和最大延迟</w:t>
            </w:r>
          </w:p>
        </w:tc>
      </w:tr>
      <w:tr>
        <w:tc>
          <w:tcPr>
            <w:tcW w:type="dxa" w:w="3360"/>
          </w:tcPr>
          <w:p>
            <w:r>
              <w:t>实时告警</w:t>
            </w:r>
          </w:p>
        </w:tc>
        <w:tc>
          <w:tcPr>
            <w:tcW w:type="dxa" w:w="3360"/>
          </w:tcPr>
          <w:p>
            <w:r>
              <w:t>异常信号、阈值、告警时间和事件</w:t>
            </w:r>
          </w:p>
        </w:tc>
        <w:tc>
          <w:tcPr>
            <w:tcW w:type="dxa" w:w="3360"/>
          </w:tcPr>
          <w:p>
            <w:r>
              <w:t>告警、等级、隔离和HI正确</w:t>
            </w:r>
          </w:p>
        </w:tc>
      </w:tr>
      <w:tr>
        <w:tc>
          <w:tcPr>
            <w:tcW w:type="dxa" w:w="3360"/>
            <w:shd w:fill="F3F6FA"/>
          </w:tcPr>
          <w:p>
            <w:r>
              <w:t>诊断接口</w:t>
            </w:r>
          </w:p>
        </w:tc>
        <w:tc>
          <w:tcPr>
            <w:tcW w:type="dxa" w:w="3360"/>
            <w:shd w:fill="F3F6FA"/>
          </w:tcPr>
          <w:p>
            <w:r>
              <w:t>三种算法请求和响应 JSON/截图</w:t>
            </w:r>
          </w:p>
        </w:tc>
        <w:tc>
          <w:tcPr>
            <w:tcW w:type="dxa" w:w="3360"/>
            <w:shd w:fill="F3F6FA"/>
          </w:tcPr>
          <w:p>
            <w:r>
              <w:t>输入校验和输出字段完整</w:t>
            </w:r>
          </w:p>
        </w:tc>
      </w:tr>
      <w:tr>
        <w:tc>
          <w:tcPr>
            <w:tcW w:type="dxa" w:w="3360"/>
          </w:tcPr>
          <w:p>
            <w:r>
              <w:t>权限</w:t>
            </w:r>
          </w:p>
        </w:tc>
        <w:tc>
          <w:tcPr>
            <w:tcW w:type="dxa" w:w="3360"/>
          </w:tcPr>
          <w:p>
            <w:r>
              <w:t>管理员和查看用户操作结果</w:t>
            </w:r>
          </w:p>
        </w:tc>
        <w:tc>
          <w:tcPr>
            <w:tcW w:type="dxa" w:w="3360"/>
          </w:tcPr>
          <w:p>
            <w:r>
              <w:t>越权操作被拒绝</w:t>
            </w:r>
          </w:p>
        </w:tc>
      </w:tr>
      <w:tr>
        <w:tc>
          <w:tcPr>
            <w:tcW w:type="dxa" w:w="3360"/>
            <w:shd w:fill="F3F6FA"/>
          </w:tcPr>
          <w:p>
            <w:r>
              <w:t>异常输入</w:t>
            </w:r>
          </w:p>
        </w:tc>
        <w:tc>
          <w:tcPr>
            <w:tcW w:type="dxa" w:w="3360"/>
            <w:shd w:fill="F3F6FA"/>
          </w:tcPr>
          <w:p>
            <w:r>
              <w:t>错误密码、空数据、乱序时间、循环边</w:t>
            </w:r>
          </w:p>
        </w:tc>
        <w:tc>
          <w:tcPr>
            <w:tcW w:type="dxa" w:w="3360"/>
            <w:shd w:fill="F3F6FA"/>
          </w:tcPr>
          <w:p>
            <w:r>
              <w:t>拒绝并给出提示，不崩溃</w:t>
            </w:r>
          </w:p>
        </w:tc>
      </w:tr>
      <w:tr>
        <w:tc>
          <w:tcPr>
            <w:tcW w:type="dxa" w:w="3360"/>
          </w:tcPr>
          <w:p>
            <w:r>
              <w:t>连续运行</w:t>
            </w:r>
          </w:p>
        </w:tc>
        <w:tc>
          <w:tcPr>
            <w:tcW w:type="dxa" w:w="3360"/>
          </w:tcPr>
          <w:p>
            <w:r>
              <w:t>采集时长、样本数、页面切换和导出</w:t>
            </w:r>
          </w:p>
        </w:tc>
        <w:tc>
          <w:tcPr>
            <w:tcW w:type="dxa" w:w="3360"/>
          </w:tcPr>
          <w:p>
            <w:r>
              <w:t>无崩溃、无数据错乱</w:t>
            </w:r>
          </w:p>
        </w:tc>
      </w:tr>
    </w:tbl>
    <w:p/>
    <w:p>
      <w:pPr>
        <w:spacing w:after="100"/>
      </w:pPr>
      <w:r>
        <w:rPr>
          <w:b w:val="0"/>
        </w:rPr>
        <w:t>记录至少包含：用例编号、环境、输入、操作人、开始/结束时间、预期结果、实际结果、判定、问题编号和回归结论。</w:t>
      </w:r>
    </w:p>
    <w:p>
      <w:pPr>
        <w:pStyle w:val="Heading1"/>
      </w:pPr>
      <w:r>
        <w:t>七 答辩边界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不要说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建议改说</w:t>
            </w:r>
          </w:p>
        </w:tc>
      </w:tr>
      <w:tr>
        <w:tc>
          <w:tcPr>
            <w:tcW w:type="dxa" w:w="5040"/>
          </w:tcPr>
          <w:p>
            <w:r>
              <w:t>准确率已经达到某百分比</w:t>
            </w:r>
          </w:p>
        </w:tc>
        <w:tc>
          <w:tcPr>
            <w:tcW w:type="dxa" w:w="5040"/>
          </w:tcPr>
          <w:p>
            <w:r>
              <w:t>需基于甲方标注集按统一口径统计</w:t>
            </w:r>
          </w:p>
        </w:tc>
      </w:tr>
      <w:tr>
        <w:tc>
          <w:tcPr>
            <w:tcW w:type="dxa" w:w="5040"/>
            <w:shd w:fill="F3F6FA"/>
          </w:tcPr>
          <w:p>
            <w:r>
              <w:t>RUL就是多少小时</w:t>
            </w:r>
          </w:p>
        </w:tc>
        <w:tc>
          <w:tcPr>
            <w:tcW w:type="dxa" w:w="5040"/>
            <w:shd w:fill="F3F6FA"/>
          </w:tcPr>
          <w:p>
            <w:r>
              <w:t>当前单位继承训练数据，完成标定后换算</w:t>
            </w:r>
          </w:p>
        </w:tc>
      </w:tr>
      <w:tr>
        <w:tc>
          <w:tcPr>
            <w:tcW w:type="dxa" w:w="5040"/>
          </w:tcPr>
          <w:p>
            <w:r>
              <w:t>VAE-GAN完全校准</w:t>
            </w:r>
          </w:p>
        </w:tc>
        <w:tc>
          <w:tcPr>
            <w:tcW w:type="dxa" w:w="5040"/>
          </w:tcPr>
          <w:p>
            <w:r>
              <w:t>VAE-GAN作为辅助证据，主判据使用系统健康和量纲适配RF</w:t>
            </w:r>
          </w:p>
        </w:tc>
      </w:tr>
      <w:tr>
        <w:tc>
          <w:tcPr>
            <w:tcW w:type="dxa" w:w="5040"/>
            <w:shd w:fill="F3F6FA"/>
          </w:tcPr>
          <w:p>
            <w:r>
              <w:t>181个用例全部通过</w:t>
            </w:r>
          </w:p>
        </w:tc>
        <w:tc>
          <w:tcPr>
            <w:tcW w:type="dxa" w:w="5040"/>
            <w:shd w:fill="F3F6FA"/>
          </w:tcPr>
          <w:p>
            <w:r>
              <w:t>开发回归已通过，现场用例需逐项执行并签署</w:t>
            </w:r>
          </w:p>
        </w:tc>
      </w:tr>
      <w:tr>
        <w:tc>
          <w:tcPr>
            <w:tcW w:type="dxa" w:w="5040"/>
          </w:tcPr>
          <w:p>
            <w:r>
              <w:t>MATLAB可由网页启动</w:t>
            </w:r>
          </w:p>
        </w:tc>
        <w:tc>
          <w:tcPr>
            <w:tcW w:type="dxa" w:w="5040"/>
          </w:tcPr>
          <w:p>
            <w:r>
              <w:t>MATLAB独立运行，通过地址和令牌上报</w:t>
            </w:r>
          </w:p>
        </w:tc>
      </w:tr>
    </w:tbl>
    <w:p/>
    <w:p>
      <w:pPr>
        <w:pStyle w:val="Heading1"/>
      </w:pPr>
      <w:r>
        <w:t>八 验收结束总结话术</w:t>
      </w:r>
    </w:p>
    <w:p>
      <w:pPr>
        <w:spacing w:after="100"/>
      </w:pPr>
      <w:r>
        <w:rPr>
          <w:b w:val="0"/>
        </w:rPr>
        <w:t>“本次演示覆盖数据处理、MATLAB 实时采集、异常告警、三种故障诊断、动力和电源故障注入、结构树、FTA/FMECA、健康评估、RUL、再飞放行和故障重演。平台结果保留数据来源、模型或规则路径及限制说明。启动时间、刷新延迟、连续运行和真实场地联调建议按测试大纲现场记录并签署。”</w:t>
      </w:r>
    </w:p>
    <w:p>
      <w:pPr>
        <w:pStyle w:val="Heading1"/>
      </w:pPr>
      <w:r>
        <w:t>九 材料打包清单</w:t>
      </w:r>
    </w:p>
    <w:p>
      <w:pPr>
        <w:pStyle w:val="ListBullet"/>
      </w:pPr>
      <w:r>
        <w:t>源码、启动脚本和依赖清单；</w:t>
      </w:r>
    </w:p>
    <w:p>
      <w:pPr>
        <w:pStyle w:val="ListBullet"/>
      </w:pPr>
      <w:r>
        <w:t>软件方案、使用手册、数据接口说明、技术研究总结报告；</w:t>
      </w:r>
    </w:p>
    <w:p>
      <w:pPr>
        <w:pStyle w:val="ListBullet"/>
      </w:pPr>
      <w:r>
        <w:t>需求—功能—测试用例追踪表；</w:t>
      </w:r>
    </w:p>
    <w:p>
      <w:pPr>
        <w:pStyle w:val="ListBullet"/>
      </w:pPr>
      <w:r>
        <w:t>现场测试记录、问题闭环表和版本信息；</w:t>
      </w:r>
    </w:p>
    <w:p>
      <w:pPr>
        <w:pStyle w:val="ListBullet"/>
      </w:pPr>
      <w:r>
        <w:t>动力/电源典型故障 CSV、数据字典、FTA/FMECA 和结构树；</w:t>
      </w:r>
    </w:p>
    <w:p>
      <w:pPr>
        <w:pStyle w:val="ListBullet"/>
      </w:pPr>
      <w:r>
        <w:t>Hier14、MSFG + TEAMS-RT、PCA–iForest、健康评估和 RUL 算法说明；</w:t>
      </w:r>
    </w:p>
    <w:p>
      <w:pPr>
        <w:pStyle w:val="ListBullet"/>
      </w:pPr>
      <w:r>
        <w:t>MATLAB 脚本、接口格式和令牌使用说明；</w:t>
      </w:r>
    </w:p>
    <w:p>
      <w:pPr>
        <w:pStyle w:val="ListBullet"/>
      </w:pPr>
      <w:r>
        <w:t>启动时间、实时延迟、连续运行和告警延迟记录。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