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563B" w:rsidRPr="00861E42" w:rsidRDefault="00E10B62" w:rsidP="00861E42">
      <w:pPr>
        <w:rPr>
          <w:rFonts w:ascii="微軟正黑體" w:eastAsia="微軟正黑體" w:hAnsi="微軟正黑體"/>
          <w:b/>
          <w:sz w:val="22"/>
        </w:rPr>
      </w:pPr>
      <w:r w:rsidRPr="00861E42">
        <w:rPr>
          <w:rFonts w:ascii="微軟正黑體" w:eastAsia="微軟正黑體" w:hAnsi="微軟正黑體" w:hint="eastAsia"/>
          <w:b/>
          <w:sz w:val="22"/>
        </w:rPr>
        <w:t>碳足跡</w:t>
      </w:r>
    </w:p>
    <w:p w:rsidR="00E10B62" w:rsidRPr="0019376C" w:rsidRDefault="00E10B62" w:rsidP="00861E42">
      <w:pPr>
        <w:rPr>
          <w:rFonts w:ascii="微軟正黑體" w:eastAsia="微軟正黑體" w:hAnsi="微軟正黑體"/>
          <w:sz w:val="20"/>
          <w:szCs w:val="20"/>
        </w:rPr>
      </w:pPr>
      <w:r w:rsidRPr="0019376C">
        <w:rPr>
          <w:rFonts w:ascii="微軟正黑體" w:eastAsia="微軟正黑體" w:hAnsi="微軟正黑體" w:hint="eastAsia"/>
          <w:sz w:val="20"/>
          <w:szCs w:val="20"/>
        </w:rPr>
        <w:t>可以被定義為一項活動或產品整個生命週期的過程，直接或間接產生的二氧化碳排放量，碳足跡排放必須包含整個產品生命週期，從產品原物料開採和製造、產品本身製造和組裝到產品使用時，產品廢棄或回收時，所產生的排放量。</w:t>
      </w:r>
    </w:p>
    <w:p w:rsidR="00E10B62" w:rsidRPr="0019376C" w:rsidRDefault="00E10B62" w:rsidP="00861E42">
      <w:pPr>
        <w:rPr>
          <w:rFonts w:ascii="微軟正黑體" w:eastAsia="微軟正黑體" w:hAnsi="微軟正黑體"/>
          <w:sz w:val="20"/>
          <w:szCs w:val="20"/>
        </w:rPr>
      </w:pPr>
      <w:r w:rsidRPr="0019376C">
        <w:rPr>
          <w:rFonts w:ascii="微軟正黑體" w:eastAsia="微軟正黑體" w:hAnsi="微軟正黑體" w:hint="eastAsia"/>
          <w:sz w:val="20"/>
          <w:szCs w:val="20"/>
        </w:rPr>
        <w:t>四個標語 1.低碳經濟  2.低碳生活  3.碳中和  4.清潔生產</w:t>
      </w:r>
    </w:p>
    <w:p w:rsidR="00E10B62" w:rsidRPr="0019376C" w:rsidRDefault="00E10B62" w:rsidP="00861E42">
      <w:pPr>
        <w:rPr>
          <w:rFonts w:ascii="微軟正黑體" w:eastAsia="微軟正黑體" w:hAnsi="微軟正黑體"/>
          <w:sz w:val="20"/>
          <w:szCs w:val="20"/>
        </w:rPr>
      </w:pPr>
      <w:r w:rsidRPr="0019376C">
        <w:rPr>
          <w:rFonts w:ascii="微軟正黑體" w:eastAsia="微軟正黑體" w:hAnsi="微軟正黑體" w:hint="eastAsia"/>
          <w:sz w:val="20"/>
          <w:szCs w:val="20"/>
        </w:rPr>
        <w:t>產品生命週期的碳足跡，盤查、分析、衝擊評估、溫室氣體減量，碳標籤核發為必要手段</w:t>
      </w:r>
    </w:p>
    <w:p w:rsidR="007F2256" w:rsidRPr="0019376C" w:rsidRDefault="00E10B62" w:rsidP="00E10B62">
      <w:pPr>
        <w:rPr>
          <w:rFonts w:ascii="微軟正黑體" w:eastAsia="微軟正黑體" w:hAnsi="微軟正黑體"/>
          <w:b/>
          <w:szCs w:val="24"/>
        </w:rPr>
      </w:pPr>
      <w:r w:rsidRPr="0019376C">
        <w:rPr>
          <w:rFonts w:ascii="微軟正黑體" w:eastAsia="微軟正黑體" w:hAnsi="微軟正黑體" w:hint="eastAsia"/>
          <w:b/>
          <w:szCs w:val="24"/>
        </w:rPr>
        <w:t>生命</w:t>
      </w:r>
      <w:r w:rsidR="007F2256" w:rsidRPr="0019376C">
        <w:rPr>
          <w:rFonts w:ascii="微軟正黑體" w:eastAsia="微軟正黑體" w:hAnsi="微軟正黑體" w:hint="eastAsia"/>
          <w:b/>
          <w:szCs w:val="24"/>
        </w:rPr>
        <w:t>週期盤查分析(</w:t>
      </w:r>
      <w:r w:rsidR="0019376C" w:rsidRPr="0019376C">
        <w:rPr>
          <w:rFonts w:ascii="微軟正黑體" w:eastAsia="微軟正黑體" w:hAnsi="微軟正黑體" w:hint="eastAsia"/>
          <w:b/>
          <w:szCs w:val="24"/>
        </w:rPr>
        <w:t xml:space="preserve">Life Cycle </w:t>
      </w:r>
      <w:proofErr w:type="spellStart"/>
      <w:r w:rsidR="0019376C" w:rsidRPr="0019376C">
        <w:rPr>
          <w:rFonts w:ascii="微軟正黑體" w:eastAsia="微軟正黑體" w:hAnsi="微軟正黑體" w:hint="eastAsia"/>
          <w:b/>
          <w:szCs w:val="24"/>
        </w:rPr>
        <w:t>Inventory&amp;Analysis,</w:t>
      </w:r>
      <w:r w:rsidR="007F2256" w:rsidRPr="0019376C">
        <w:rPr>
          <w:rFonts w:ascii="微軟正黑體" w:eastAsia="微軟正黑體" w:hAnsi="微軟正黑體" w:hint="eastAsia"/>
          <w:b/>
          <w:szCs w:val="24"/>
        </w:rPr>
        <w:t>LCI</w:t>
      </w:r>
      <w:proofErr w:type="spellEnd"/>
      <w:r w:rsidR="007F2256" w:rsidRPr="0019376C">
        <w:rPr>
          <w:rFonts w:ascii="微軟正黑體" w:eastAsia="微軟正黑體" w:hAnsi="微軟正黑體" w:hint="eastAsia"/>
          <w:b/>
          <w:szCs w:val="24"/>
        </w:rPr>
        <w:t>/</w:t>
      </w:r>
      <w:r w:rsidRPr="0019376C">
        <w:rPr>
          <w:rFonts w:ascii="微軟正黑體" w:eastAsia="微軟正黑體" w:hAnsi="微軟正黑體" w:hint="eastAsia"/>
          <w:b/>
          <w:szCs w:val="24"/>
        </w:rPr>
        <w:t>LCA</w:t>
      </w:r>
      <w:r w:rsidR="007F2256" w:rsidRPr="0019376C">
        <w:rPr>
          <w:rFonts w:ascii="微軟正黑體" w:eastAsia="微軟正黑體" w:hAnsi="微軟正黑體" w:hint="eastAsia"/>
          <w:b/>
          <w:szCs w:val="24"/>
        </w:rPr>
        <w:t>)</w:t>
      </w:r>
    </w:p>
    <w:p w:rsidR="007F2256" w:rsidRPr="0019376C" w:rsidRDefault="007F2256"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提供分析任何有關直接或間接與能源和原物料使用的活動或操作單元，以了解產品整個狀況</w:t>
      </w:r>
    </w:p>
    <w:p w:rsidR="006D7279" w:rsidRPr="0019376C" w:rsidRDefault="007F2256"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運用歐盟委託荷蘭VHK發展的能源使用產品環境生態報告</w:t>
      </w:r>
      <w:proofErr w:type="spellStart"/>
      <w:r w:rsidRPr="0019376C">
        <w:rPr>
          <w:rFonts w:ascii="微軟正黑體" w:eastAsia="微軟正黑體" w:hAnsi="微軟正黑體" w:hint="eastAsia"/>
          <w:sz w:val="20"/>
          <w:szCs w:val="20"/>
        </w:rPr>
        <w:t>EuP</w:t>
      </w:r>
      <w:proofErr w:type="spellEnd"/>
      <w:r w:rsidRPr="0019376C">
        <w:rPr>
          <w:rFonts w:ascii="微軟正黑體" w:eastAsia="微軟正黑體" w:hAnsi="微軟正黑體" w:hint="eastAsia"/>
          <w:sz w:val="20"/>
          <w:szCs w:val="20"/>
        </w:rPr>
        <w:t xml:space="preserve"> </w:t>
      </w:r>
      <w:proofErr w:type="spellStart"/>
      <w:r w:rsidRPr="0019376C">
        <w:rPr>
          <w:rFonts w:ascii="微軟正黑體" w:eastAsia="微軟正黑體" w:hAnsi="微軟正黑體" w:hint="eastAsia"/>
          <w:sz w:val="20"/>
          <w:szCs w:val="20"/>
        </w:rPr>
        <w:t>EcoReport</w:t>
      </w:r>
      <w:proofErr w:type="spellEnd"/>
      <w:proofErr w:type="gramStart"/>
      <w:r w:rsidRPr="0019376C">
        <w:rPr>
          <w:rFonts w:ascii="微軟正黑體" w:eastAsia="微軟正黑體" w:hAnsi="微軟正黑體" w:hint="eastAsia"/>
          <w:sz w:val="20"/>
          <w:szCs w:val="20"/>
        </w:rPr>
        <w:t>做為盤差分析</w:t>
      </w:r>
      <w:proofErr w:type="gramEnd"/>
      <w:r w:rsidRPr="0019376C">
        <w:rPr>
          <w:rFonts w:ascii="微軟正黑體" w:eastAsia="微軟正黑體" w:hAnsi="微軟正黑體" w:hint="eastAsia"/>
          <w:sz w:val="20"/>
          <w:szCs w:val="20"/>
        </w:rPr>
        <w:t>的工具，資料輸入方面分為五大部分 1.原料開採與生產階段 2.製造與運輸階段 3.使用階段</w:t>
      </w:r>
    </w:p>
    <w:p w:rsidR="007F2256" w:rsidRPr="0019376C" w:rsidRDefault="007F2256"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4.產品棄置與回收階段 5.生命週期成本計算</w:t>
      </w:r>
    </w:p>
    <w:p w:rsidR="007F2256" w:rsidRPr="0019376C" w:rsidRDefault="007F2256" w:rsidP="00E10B62">
      <w:pPr>
        <w:rPr>
          <w:rFonts w:ascii="微軟正黑體" w:eastAsia="微軟正黑體" w:hAnsi="微軟正黑體"/>
          <w:b/>
          <w:szCs w:val="24"/>
        </w:rPr>
      </w:pPr>
      <w:r w:rsidRPr="0019376C">
        <w:rPr>
          <w:rFonts w:ascii="微軟正黑體" w:eastAsia="微軟正黑體" w:hAnsi="微軟正黑體" w:hint="eastAsia"/>
          <w:b/>
          <w:szCs w:val="24"/>
        </w:rPr>
        <w:t>生命週期衝擊評估(</w:t>
      </w:r>
      <w:r w:rsidR="0019376C" w:rsidRPr="0019376C">
        <w:rPr>
          <w:rFonts w:ascii="微軟正黑體" w:eastAsia="微軟正黑體" w:hAnsi="微軟正黑體" w:hint="eastAsia"/>
          <w:b/>
          <w:szCs w:val="24"/>
        </w:rPr>
        <w:t xml:space="preserve">Life Cycle Impact </w:t>
      </w:r>
      <w:proofErr w:type="spellStart"/>
      <w:r w:rsidR="0019376C" w:rsidRPr="0019376C">
        <w:rPr>
          <w:rFonts w:ascii="微軟正黑體" w:eastAsia="微軟正黑體" w:hAnsi="微軟正黑體" w:hint="eastAsia"/>
          <w:b/>
          <w:szCs w:val="24"/>
        </w:rPr>
        <w:t>Assessment,</w:t>
      </w:r>
      <w:r w:rsidRPr="0019376C">
        <w:rPr>
          <w:rFonts w:ascii="微軟正黑體" w:eastAsia="微軟正黑體" w:hAnsi="微軟正黑體" w:hint="eastAsia"/>
          <w:b/>
          <w:szCs w:val="24"/>
        </w:rPr>
        <w:t>LCIA</w:t>
      </w:r>
      <w:proofErr w:type="spellEnd"/>
      <w:r w:rsidRPr="0019376C">
        <w:rPr>
          <w:rFonts w:ascii="微軟正黑體" w:eastAsia="微軟正黑體" w:hAnsi="微軟正黑體" w:hint="eastAsia"/>
          <w:b/>
          <w:szCs w:val="24"/>
        </w:rPr>
        <w:t>)</w:t>
      </w:r>
    </w:p>
    <w:p w:rsidR="00E10B62" w:rsidRPr="0019376C" w:rsidRDefault="006D7279"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以專業技術來區分及評估清單中所列出的各成分對環境負荷影響情形</w:t>
      </w:r>
    </w:p>
    <w:p w:rsidR="006D7279" w:rsidRPr="0019376C" w:rsidRDefault="006D7279" w:rsidP="00E10B62">
      <w:pPr>
        <w:rPr>
          <w:rFonts w:ascii="微軟正黑體" w:eastAsia="微軟正黑體" w:hAnsi="微軟正黑體"/>
          <w:b/>
          <w:szCs w:val="24"/>
        </w:rPr>
      </w:pPr>
      <w:r w:rsidRPr="0019376C">
        <w:rPr>
          <w:rFonts w:ascii="微軟正黑體" w:eastAsia="微軟正黑體" w:hAnsi="微軟正黑體" w:hint="eastAsia"/>
          <w:b/>
          <w:szCs w:val="24"/>
        </w:rPr>
        <w:t>生態設計</w:t>
      </w:r>
      <w:r w:rsidR="00501153" w:rsidRPr="0019376C">
        <w:rPr>
          <w:rFonts w:ascii="微軟正黑體" w:eastAsia="微軟正黑體" w:hAnsi="微軟正黑體" w:hint="eastAsia"/>
          <w:b/>
          <w:szCs w:val="24"/>
        </w:rPr>
        <w:t xml:space="preserve">(Ecological </w:t>
      </w:r>
      <w:proofErr w:type="spellStart"/>
      <w:r w:rsidR="00501153" w:rsidRPr="0019376C">
        <w:rPr>
          <w:rFonts w:ascii="微軟正黑體" w:eastAsia="微軟正黑體" w:hAnsi="微軟正黑體" w:hint="eastAsia"/>
          <w:b/>
          <w:szCs w:val="24"/>
        </w:rPr>
        <w:t>Design,ED</w:t>
      </w:r>
      <w:proofErr w:type="spellEnd"/>
      <w:r w:rsidR="00501153" w:rsidRPr="0019376C">
        <w:rPr>
          <w:rFonts w:ascii="微軟正黑體" w:eastAsia="微軟正黑體" w:hAnsi="微軟正黑體" w:hint="eastAsia"/>
          <w:b/>
          <w:szCs w:val="24"/>
        </w:rPr>
        <w:t>)</w:t>
      </w:r>
    </w:p>
    <w:p w:rsidR="00E10B62" w:rsidRPr="0019376C" w:rsidRDefault="006D7279"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綠色設計近年國內外企業對於環境問題的處理方式，跳脫工廠</w:t>
      </w:r>
      <w:proofErr w:type="gramStart"/>
      <w:r w:rsidRPr="0019376C">
        <w:rPr>
          <w:rFonts w:ascii="微軟正黑體" w:eastAsia="微軟正黑體" w:hAnsi="微軟正黑體" w:hint="eastAsia"/>
          <w:sz w:val="20"/>
          <w:szCs w:val="20"/>
        </w:rPr>
        <w:t>製程管末處理方式</w:t>
      </w:r>
      <w:proofErr w:type="gramEnd"/>
      <w:r w:rsidRPr="0019376C">
        <w:rPr>
          <w:rFonts w:ascii="微軟正黑體" w:eastAsia="微軟正黑體" w:hAnsi="微軟正黑體" w:hint="eastAsia"/>
          <w:sz w:val="20"/>
          <w:szCs w:val="20"/>
        </w:rPr>
        <w:t>，而將焦點放在產品開發，盡量降低對環境所造成的負荷；以此為目的的發展稱為綠色設計</w:t>
      </w:r>
      <w:r w:rsidR="0019376C" w:rsidRPr="0019376C">
        <w:rPr>
          <w:rFonts w:ascii="微軟正黑體" w:eastAsia="微軟正黑體" w:hAnsi="微軟正黑體" w:hint="eastAsia"/>
          <w:sz w:val="20"/>
          <w:szCs w:val="20"/>
        </w:rPr>
        <w:t xml:space="preserve">(Green </w:t>
      </w:r>
      <w:proofErr w:type="spellStart"/>
      <w:r w:rsidR="0019376C" w:rsidRPr="0019376C">
        <w:rPr>
          <w:rFonts w:ascii="微軟正黑體" w:eastAsia="微軟正黑體" w:hAnsi="微軟正黑體" w:hint="eastAsia"/>
          <w:sz w:val="20"/>
          <w:szCs w:val="20"/>
        </w:rPr>
        <w:t>Design,GD</w:t>
      </w:r>
      <w:proofErr w:type="spellEnd"/>
      <w:r w:rsidR="0019376C" w:rsidRPr="0019376C">
        <w:rPr>
          <w:rFonts w:ascii="微軟正黑體" w:eastAsia="微軟正黑體" w:hAnsi="微軟正黑體" w:hint="eastAsia"/>
          <w:sz w:val="20"/>
          <w:szCs w:val="20"/>
        </w:rPr>
        <w:t>)</w:t>
      </w:r>
      <w:r w:rsidRPr="0019376C">
        <w:rPr>
          <w:rFonts w:ascii="微軟正黑體" w:eastAsia="微軟正黑體" w:hAnsi="微軟正黑體" w:hint="eastAsia"/>
          <w:sz w:val="20"/>
          <w:szCs w:val="20"/>
        </w:rPr>
        <w:t>或環境化設計</w:t>
      </w:r>
      <w:r w:rsidR="0019376C" w:rsidRPr="0019376C">
        <w:rPr>
          <w:rFonts w:ascii="微軟正黑體" w:eastAsia="微軟正黑體" w:hAnsi="微軟正黑體" w:cstheme="minorHAnsi"/>
          <w:sz w:val="20"/>
          <w:szCs w:val="20"/>
        </w:rPr>
        <w:t>(Design for Environment,</w:t>
      </w:r>
      <m:oMath>
        <m:sSub>
          <m:sSubPr>
            <m:ctrlPr>
              <w:rPr>
                <w:rFonts w:ascii="Cambria Math" w:eastAsia="微軟正黑體" w:hAnsi="微軟正黑體" w:cstheme="minorHAnsi"/>
                <w:sz w:val="20"/>
                <w:szCs w:val="20"/>
              </w:rPr>
            </m:ctrlPr>
          </m:sSubPr>
          <m:e>
            <m:r>
              <m:rPr>
                <m:sty m:val="p"/>
              </m:rPr>
              <w:rPr>
                <w:rFonts w:ascii="Cambria Math" w:eastAsia="微軟正黑體" w:hAnsi="微軟正黑體" w:cstheme="minorHAnsi"/>
                <w:sz w:val="20"/>
                <w:szCs w:val="20"/>
              </w:rPr>
              <m:t>D</m:t>
            </m:r>
          </m:e>
          <m:sub>
            <m:r>
              <m:rPr>
                <m:sty m:val="p"/>
              </m:rPr>
              <w:rPr>
                <w:rFonts w:ascii="Cambria Math" w:eastAsia="微軟正黑體" w:hAnsi="微軟正黑體" w:cstheme="minorHAnsi"/>
                <w:sz w:val="20"/>
                <w:szCs w:val="20"/>
              </w:rPr>
              <m:t>f</m:t>
            </m:r>
          </m:sub>
        </m:sSub>
      </m:oMath>
      <w:r w:rsidR="0019376C" w:rsidRPr="0019376C">
        <w:rPr>
          <w:rFonts w:ascii="微軟正黑體" w:eastAsia="微軟正黑體" w:hAnsi="微軟正黑體" w:cstheme="minorHAnsi"/>
          <w:sz w:val="20"/>
          <w:szCs w:val="20"/>
        </w:rPr>
        <w:t>E)</w:t>
      </w:r>
      <w:r w:rsidRPr="0019376C">
        <w:rPr>
          <w:rFonts w:ascii="微軟正黑體" w:eastAsia="微軟正黑體" w:hAnsi="微軟正黑體" w:hint="eastAsia"/>
          <w:sz w:val="20"/>
          <w:szCs w:val="20"/>
        </w:rPr>
        <w:t>。</w:t>
      </w:r>
    </w:p>
    <w:p w:rsidR="006D7279" w:rsidRPr="0019376C" w:rsidRDefault="006D7279"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綠色設計指企業在消極面符合客戶與國際貿易規範要求、積極面發展創新且兼備低毒性/汙染，省能源，可回收的新產品</w:t>
      </w:r>
    </w:p>
    <w:p w:rsidR="00A227B0" w:rsidRPr="0019376C" w:rsidRDefault="00A227B0"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綠色設計上核心為3R：再製造(Regenerate)、再循環(Recycle)、再使用(Reuse)，不僅要減少有害物質之使用、能源消耗與廢棄物排放，更要使產品零附件易於拆解回收，而再生或再利用。</w:t>
      </w:r>
    </w:p>
    <w:p w:rsidR="00DA3256" w:rsidRPr="0019376C" w:rsidRDefault="00DA3256" w:rsidP="00E10B62">
      <w:pPr>
        <w:rPr>
          <w:rFonts w:ascii="微軟正黑體" w:eastAsia="微軟正黑體" w:hAnsi="微軟正黑體"/>
          <w:b/>
          <w:szCs w:val="24"/>
        </w:rPr>
      </w:pPr>
      <w:r w:rsidRPr="0019376C">
        <w:rPr>
          <w:rFonts w:ascii="微軟正黑體" w:eastAsia="微軟正黑體" w:hAnsi="微軟正黑體" w:hint="eastAsia"/>
          <w:b/>
          <w:szCs w:val="24"/>
        </w:rPr>
        <w:t>綠色指令</w:t>
      </w:r>
    </w:p>
    <w:p w:rsidR="00DA3256" w:rsidRPr="0019376C" w:rsidRDefault="00DA3256" w:rsidP="00E10B62">
      <w:pPr>
        <w:rPr>
          <w:rFonts w:ascii="微軟正黑體" w:eastAsia="微軟正黑體" w:hAnsi="微軟正黑體"/>
          <w:sz w:val="20"/>
          <w:szCs w:val="20"/>
        </w:rPr>
      </w:pPr>
      <w:proofErr w:type="spellStart"/>
      <w:r w:rsidRPr="0019376C">
        <w:rPr>
          <w:rFonts w:ascii="微軟正黑體" w:eastAsia="微軟正黑體" w:hAnsi="微軟正黑體" w:hint="eastAsia"/>
          <w:sz w:val="20"/>
          <w:szCs w:val="20"/>
        </w:rPr>
        <w:t>RoHS</w:t>
      </w:r>
      <w:proofErr w:type="spellEnd"/>
      <w:r w:rsidRPr="0019376C">
        <w:rPr>
          <w:rFonts w:ascii="微軟正黑體" w:eastAsia="微軟正黑體" w:hAnsi="微軟正黑體" w:hint="eastAsia"/>
          <w:sz w:val="20"/>
          <w:szCs w:val="20"/>
        </w:rPr>
        <w:t>指令(電機電子產品危害物質限用指令)</w:t>
      </w:r>
    </w:p>
    <w:p w:rsidR="00DA3256" w:rsidRPr="0019376C" w:rsidRDefault="00DA3256"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管制在歐盟銷售之電機電子產品不得含有鉛、鎘、汞、六價鉻、</w:t>
      </w:r>
      <w:proofErr w:type="gramStart"/>
      <w:r w:rsidRPr="0019376C">
        <w:rPr>
          <w:rFonts w:ascii="微軟正黑體" w:eastAsia="微軟正黑體" w:hAnsi="微軟正黑體" w:hint="eastAsia"/>
          <w:sz w:val="20"/>
          <w:szCs w:val="20"/>
        </w:rPr>
        <w:t>溴聯苯</w:t>
      </w:r>
      <w:proofErr w:type="gramEnd"/>
      <w:r w:rsidRPr="0019376C">
        <w:rPr>
          <w:rFonts w:ascii="微軟正黑體" w:eastAsia="微軟正黑體" w:hAnsi="微軟正黑體" w:hint="eastAsia"/>
          <w:sz w:val="20"/>
          <w:szCs w:val="20"/>
        </w:rPr>
        <w:t>醚、</w:t>
      </w:r>
      <w:proofErr w:type="gramStart"/>
      <w:r w:rsidRPr="0019376C">
        <w:rPr>
          <w:rFonts w:ascii="微軟正黑體" w:eastAsia="微軟正黑體" w:hAnsi="微軟正黑體" w:hint="eastAsia"/>
          <w:sz w:val="20"/>
          <w:szCs w:val="20"/>
        </w:rPr>
        <w:t>聚溴聯苯</w:t>
      </w:r>
      <w:proofErr w:type="gramEnd"/>
      <w:r w:rsidRPr="0019376C">
        <w:rPr>
          <w:rFonts w:ascii="微軟正黑體" w:eastAsia="微軟正黑體" w:hAnsi="微軟正黑體" w:hint="eastAsia"/>
          <w:sz w:val="20"/>
          <w:szCs w:val="20"/>
        </w:rPr>
        <w:t>等有害物質</w:t>
      </w:r>
    </w:p>
    <w:p w:rsidR="004F5F3B" w:rsidRPr="0019376C" w:rsidRDefault="004F5F3B"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WEEE指令(廢電機電子設備指令)</w:t>
      </w:r>
    </w:p>
    <w:p w:rsidR="00DA3256" w:rsidRPr="0019376C" w:rsidRDefault="004F5F3B"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針對10</w:t>
      </w:r>
      <w:proofErr w:type="gramStart"/>
      <w:r w:rsidRPr="0019376C">
        <w:rPr>
          <w:rFonts w:ascii="微軟正黑體" w:eastAsia="微軟正黑體" w:hAnsi="微軟正黑體" w:hint="eastAsia"/>
          <w:sz w:val="20"/>
          <w:szCs w:val="20"/>
        </w:rPr>
        <w:t>大廢電機</w:t>
      </w:r>
      <w:proofErr w:type="gramEnd"/>
      <w:r w:rsidRPr="0019376C">
        <w:rPr>
          <w:rFonts w:ascii="微軟正黑體" w:eastAsia="微軟正黑體" w:hAnsi="微軟正黑體" w:hint="eastAsia"/>
          <w:sz w:val="20"/>
          <w:szCs w:val="20"/>
        </w:rPr>
        <w:t>電子產品建立回收體系，並達成法定之回收率</w:t>
      </w:r>
    </w:p>
    <w:p w:rsidR="00DA3256" w:rsidRPr="0019376C" w:rsidRDefault="004F5F3B" w:rsidP="00E10B62">
      <w:pPr>
        <w:rPr>
          <w:rFonts w:ascii="微軟正黑體" w:eastAsia="微軟正黑體" w:hAnsi="微軟正黑體"/>
          <w:sz w:val="20"/>
          <w:szCs w:val="20"/>
        </w:rPr>
      </w:pPr>
      <w:proofErr w:type="spellStart"/>
      <w:r w:rsidRPr="0019376C">
        <w:rPr>
          <w:rFonts w:ascii="微軟正黑體" w:eastAsia="微軟正黑體" w:hAnsi="微軟正黑體" w:hint="eastAsia"/>
          <w:sz w:val="20"/>
          <w:szCs w:val="20"/>
        </w:rPr>
        <w:t>EuP</w:t>
      </w:r>
      <w:proofErr w:type="spellEnd"/>
      <w:r w:rsidRPr="0019376C">
        <w:rPr>
          <w:rFonts w:ascii="微軟正黑體" w:eastAsia="微軟正黑體" w:hAnsi="微軟正黑體" w:hint="eastAsia"/>
          <w:sz w:val="20"/>
          <w:szCs w:val="20"/>
        </w:rPr>
        <w:t>指令(能源使用產品之對環境友善設計指令)</w:t>
      </w:r>
    </w:p>
    <w:p w:rsidR="00DA3256" w:rsidRPr="0019376C" w:rsidRDefault="004F5F3B"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對能源使用產品設定環保設計要求事項，且必須符合這些條文規定才能在歐盟境內銷售與使用</w:t>
      </w:r>
    </w:p>
    <w:p w:rsidR="004F5F3B" w:rsidRPr="0019376C" w:rsidRDefault="004F5F3B" w:rsidP="004F5F3B">
      <w:pPr>
        <w:rPr>
          <w:rFonts w:ascii="微軟正黑體" w:eastAsia="微軟正黑體" w:hAnsi="微軟正黑體"/>
          <w:b/>
          <w:sz w:val="20"/>
          <w:szCs w:val="20"/>
        </w:rPr>
      </w:pPr>
      <w:proofErr w:type="spellStart"/>
      <w:r w:rsidRPr="0019376C">
        <w:rPr>
          <w:rFonts w:ascii="微軟正黑體" w:eastAsia="微軟正黑體" w:hAnsi="微軟正黑體" w:hint="eastAsia"/>
          <w:b/>
          <w:sz w:val="20"/>
          <w:szCs w:val="20"/>
        </w:rPr>
        <w:t>RoHS</w:t>
      </w:r>
      <w:proofErr w:type="spellEnd"/>
      <w:r w:rsidRPr="0019376C">
        <w:rPr>
          <w:rFonts w:ascii="微軟正黑體" w:eastAsia="微軟正黑體" w:hAnsi="微軟正黑體" w:hint="eastAsia"/>
          <w:b/>
          <w:sz w:val="20"/>
          <w:szCs w:val="20"/>
        </w:rPr>
        <w:t>指令、WEEE指令、</w:t>
      </w:r>
      <w:proofErr w:type="spellStart"/>
      <w:r w:rsidRPr="0019376C">
        <w:rPr>
          <w:rFonts w:ascii="微軟正黑體" w:eastAsia="微軟正黑體" w:hAnsi="微軟正黑體" w:hint="eastAsia"/>
          <w:b/>
          <w:sz w:val="20"/>
          <w:szCs w:val="20"/>
        </w:rPr>
        <w:t>EuP</w:t>
      </w:r>
      <w:proofErr w:type="spellEnd"/>
      <w:r w:rsidRPr="0019376C">
        <w:rPr>
          <w:rFonts w:ascii="微軟正黑體" w:eastAsia="微軟正黑體" w:hAnsi="微軟正黑體" w:hint="eastAsia"/>
          <w:b/>
          <w:sz w:val="20"/>
          <w:szCs w:val="20"/>
        </w:rPr>
        <w:t>指令之關聯性</w:t>
      </w:r>
    </w:p>
    <w:p w:rsidR="00A227B0" w:rsidRPr="0019376C" w:rsidRDefault="00A227B0" w:rsidP="00A227B0">
      <w:pPr>
        <w:rPr>
          <w:rFonts w:ascii="微軟正黑體" w:eastAsia="微軟正黑體" w:hAnsi="微軟正黑體"/>
          <w:sz w:val="20"/>
          <w:szCs w:val="20"/>
        </w:rPr>
      </w:pPr>
      <w:r w:rsidRPr="0019376C">
        <w:rPr>
          <w:rFonts w:ascii="微軟正黑體" w:eastAsia="微軟正黑體" w:hAnsi="微軟正黑體" w:hint="eastAsia"/>
          <w:sz w:val="20"/>
          <w:szCs w:val="20"/>
        </w:rPr>
        <w:t>1.許多耗能產品使用有害物質，應該控制其排放到環境中或將其清除。但在WEEE指令中僅提到能產品回收、在使用、再循環，卻沒有明確執行方式，可在</w:t>
      </w:r>
      <w:proofErr w:type="spellStart"/>
      <w:r w:rsidRPr="0019376C">
        <w:rPr>
          <w:rFonts w:ascii="微軟正黑體" w:eastAsia="微軟正黑體" w:hAnsi="微軟正黑體" w:hint="eastAsia"/>
          <w:sz w:val="20"/>
          <w:szCs w:val="20"/>
        </w:rPr>
        <w:t>EuP</w:t>
      </w:r>
      <w:proofErr w:type="spellEnd"/>
      <w:r w:rsidRPr="0019376C">
        <w:rPr>
          <w:rFonts w:ascii="微軟正黑體" w:eastAsia="微軟正黑體" w:hAnsi="微軟正黑體" w:hint="eastAsia"/>
          <w:sz w:val="20"/>
          <w:szCs w:val="20"/>
        </w:rPr>
        <w:t>指令中得到更進一步說明。</w:t>
      </w:r>
    </w:p>
    <w:p w:rsidR="00A227B0" w:rsidRPr="0019376C" w:rsidRDefault="00A227B0" w:rsidP="00A227B0">
      <w:pPr>
        <w:rPr>
          <w:rFonts w:ascii="微軟正黑體" w:eastAsia="微軟正黑體" w:hAnsi="微軟正黑體"/>
          <w:sz w:val="20"/>
          <w:szCs w:val="20"/>
        </w:rPr>
      </w:pPr>
      <w:r w:rsidRPr="0019376C">
        <w:rPr>
          <w:rFonts w:ascii="微軟正黑體" w:eastAsia="微軟正黑體" w:hAnsi="微軟正黑體" w:hint="eastAsia"/>
          <w:sz w:val="20"/>
          <w:szCs w:val="20"/>
        </w:rPr>
        <w:t>2.EuP指令鼓勵生產者檢查是否可能在產品的整個生命週期內將這些有害物之使用量最小化並使排放量最小，有助於</w:t>
      </w:r>
      <w:proofErr w:type="gramStart"/>
      <w:r w:rsidRPr="0019376C">
        <w:rPr>
          <w:rFonts w:ascii="微軟正黑體" w:eastAsia="微軟正黑體" w:hAnsi="微軟正黑體" w:hint="eastAsia"/>
          <w:sz w:val="20"/>
          <w:szCs w:val="20"/>
        </w:rPr>
        <w:t>釐</w:t>
      </w:r>
      <w:proofErr w:type="gramEnd"/>
      <w:r w:rsidRPr="0019376C">
        <w:rPr>
          <w:rFonts w:ascii="微軟正黑體" w:eastAsia="微軟正黑體" w:hAnsi="微軟正黑體" w:hint="eastAsia"/>
          <w:sz w:val="20"/>
          <w:szCs w:val="20"/>
        </w:rPr>
        <w:t>清WEEE條文第4條之相關規定。</w:t>
      </w:r>
    </w:p>
    <w:p w:rsidR="00DA3256" w:rsidRPr="0019376C" w:rsidRDefault="00A227B0" w:rsidP="00A227B0">
      <w:pPr>
        <w:rPr>
          <w:rFonts w:ascii="微軟正黑體" w:eastAsia="微軟正黑體" w:hAnsi="微軟正黑體"/>
          <w:sz w:val="20"/>
          <w:szCs w:val="20"/>
        </w:rPr>
      </w:pPr>
      <w:r w:rsidRPr="0019376C">
        <w:rPr>
          <w:rFonts w:ascii="微軟正黑體" w:eastAsia="微軟正黑體" w:hAnsi="微軟正黑體" w:hint="eastAsia"/>
          <w:sz w:val="20"/>
          <w:szCs w:val="20"/>
        </w:rPr>
        <w:lastRenderedPageBreak/>
        <w:t>3.為符合</w:t>
      </w:r>
      <w:proofErr w:type="spellStart"/>
      <w:r w:rsidRPr="0019376C">
        <w:rPr>
          <w:rFonts w:ascii="微軟正黑體" w:eastAsia="微軟正黑體" w:hAnsi="微軟正黑體" w:hint="eastAsia"/>
          <w:sz w:val="20"/>
          <w:szCs w:val="20"/>
        </w:rPr>
        <w:t>EuP</w:t>
      </w:r>
      <w:proofErr w:type="spellEnd"/>
      <w:r w:rsidRPr="0019376C">
        <w:rPr>
          <w:rFonts w:ascii="微軟正黑體" w:eastAsia="微軟正黑體" w:hAnsi="微軟正黑體" w:hint="eastAsia"/>
          <w:sz w:val="20"/>
          <w:szCs w:val="20"/>
        </w:rPr>
        <w:t>指令要求，零組件之大量資訊將隨供應鏈提供給產品生產者，再從產品生產者轉移最終用戶及處理設施，有助於</w:t>
      </w:r>
      <w:proofErr w:type="spellStart"/>
      <w:r w:rsidRPr="0019376C">
        <w:rPr>
          <w:rFonts w:ascii="微軟正黑體" w:eastAsia="微軟正黑體" w:hAnsi="微軟正黑體" w:hint="eastAsia"/>
          <w:sz w:val="20"/>
          <w:szCs w:val="20"/>
        </w:rPr>
        <w:t>RoHS</w:t>
      </w:r>
      <w:proofErr w:type="spellEnd"/>
      <w:r w:rsidRPr="0019376C">
        <w:rPr>
          <w:rFonts w:ascii="微軟正黑體" w:eastAsia="微軟正黑體" w:hAnsi="微軟正黑體" w:hint="eastAsia"/>
          <w:sz w:val="20"/>
          <w:szCs w:val="20"/>
        </w:rPr>
        <w:t>與WEEE正確而快速之實施及監督。</w:t>
      </w:r>
    </w:p>
    <w:p w:rsidR="00FB04FD" w:rsidRDefault="00A227B0" w:rsidP="00E10B62">
      <w:pPr>
        <w:rPr>
          <w:rFonts w:ascii="微軟正黑體" w:eastAsia="微軟正黑體" w:hAnsi="微軟正黑體" w:hint="eastAsia"/>
          <w:sz w:val="20"/>
          <w:szCs w:val="20"/>
        </w:rPr>
      </w:pPr>
      <w:proofErr w:type="spellStart"/>
      <w:r w:rsidRPr="0019376C">
        <w:rPr>
          <w:rFonts w:ascii="微軟正黑體" w:eastAsia="微軟正黑體" w:hAnsi="微軟正黑體" w:hint="eastAsia"/>
          <w:sz w:val="20"/>
          <w:szCs w:val="20"/>
        </w:rPr>
        <w:t>EuP</w:t>
      </w:r>
      <w:proofErr w:type="spellEnd"/>
      <w:r w:rsidRPr="0019376C">
        <w:rPr>
          <w:rFonts w:ascii="微軟正黑體" w:eastAsia="微軟正黑體" w:hAnsi="微軟正黑體" w:hint="eastAsia"/>
          <w:sz w:val="20"/>
          <w:szCs w:val="20"/>
        </w:rPr>
        <w:t>指令執行架構圖</w:t>
      </w:r>
    </w:p>
    <w:p w:rsidR="00B23F08" w:rsidRDefault="00B23F08" w:rsidP="00E10B62">
      <w:pPr>
        <w:rPr>
          <w:rFonts w:ascii="微軟正黑體" w:eastAsia="微軟正黑體" w:hAnsi="微軟正黑體" w:hint="eastAsia"/>
          <w:sz w:val="20"/>
          <w:szCs w:val="20"/>
        </w:rPr>
      </w:pPr>
      <w:r w:rsidRPr="00B23F08">
        <w:rPr>
          <w:rFonts w:ascii="微軟正黑體" w:eastAsia="微軟正黑體" w:hAnsi="微軟正黑體"/>
          <w:sz w:val="20"/>
          <w:szCs w:val="20"/>
        </w:rPr>
        <w:drawing>
          <wp:anchor distT="0" distB="0" distL="114300" distR="114300" simplePos="0" relativeHeight="251658240" behindDoc="0" locked="0" layoutInCell="1" allowOverlap="1">
            <wp:simplePos x="0" y="0"/>
            <wp:positionH relativeFrom="column">
              <wp:posOffset>-754026</wp:posOffset>
            </wp:positionH>
            <wp:positionV relativeFrom="paragraph">
              <wp:posOffset>34999</wp:posOffset>
            </wp:positionV>
            <wp:extent cx="4372979" cy="5859795"/>
            <wp:effectExtent l="19050" t="19050" r="27571" b="26655"/>
            <wp:wrapNone/>
            <wp:docPr id="1" name="圖片 1" descr="f19-3"/>
            <wp:cNvGraphicFramePr/>
            <a:graphic xmlns:a="http://schemas.openxmlformats.org/drawingml/2006/main">
              <a:graphicData uri="http://schemas.openxmlformats.org/drawingml/2006/picture">
                <pic:pic xmlns:pic="http://schemas.openxmlformats.org/drawingml/2006/picture">
                  <pic:nvPicPr>
                    <pic:cNvPr id="227332" name="Picture 4" descr="f19-3"/>
                    <pic:cNvPicPr>
                      <a:picLocks noChangeAspect="1" noChangeArrowheads="1"/>
                    </pic:cNvPicPr>
                  </pic:nvPicPr>
                  <pic:blipFill>
                    <a:blip r:embed="rId7" cstate="print"/>
                    <a:srcRect/>
                    <a:stretch>
                      <a:fillRect/>
                    </a:stretch>
                  </pic:blipFill>
                  <pic:spPr bwMode="auto">
                    <a:xfrm>
                      <a:off x="0" y="0"/>
                      <a:ext cx="4372979" cy="5859795"/>
                    </a:xfrm>
                    <a:prstGeom prst="rect">
                      <a:avLst/>
                    </a:prstGeom>
                    <a:noFill/>
                    <a:ln>
                      <a:solidFill>
                        <a:schemeClr val="tx1"/>
                      </a:solidFill>
                    </a:ln>
                  </pic:spPr>
                </pic:pic>
              </a:graphicData>
            </a:graphic>
          </wp:anchor>
        </w:drawing>
      </w:r>
    </w:p>
    <w:p w:rsidR="00B23F08" w:rsidRDefault="00B23F08" w:rsidP="00E10B62">
      <w:pPr>
        <w:rPr>
          <w:rFonts w:ascii="微軟正黑體" w:eastAsia="微軟正黑體" w:hAnsi="微軟正黑體" w:hint="eastAsia"/>
          <w:sz w:val="20"/>
          <w:szCs w:val="20"/>
        </w:rPr>
      </w:pPr>
    </w:p>
    <w:p w:rsidR="00B23F08" w:rsidRDefault="00B23F08" w:rsidP="00E10B62">
      <w:pPr>
        <w:rPr>
          <w:rFonts w:ascii="微軟正黑體" w:eastAsia="微軟正黑體" w:hAnsi="微軟正黑體" w:hint="eastAsia"/>
          <w:sz w:val="20"/>
          <w:szCs w:val="20"/>
        </w:rPr>
      </w:pPr>
    </w:p>
    <w:p w:rsidR="00B23F08" w:rsidRDefault="00B23F08" w:rsidP="00E10B62">
      <w:pPr>
        <w:rPr>
          <w:rFonts w:ascii="微軟正黑體" w:eastAsia="微軟正黑體" w:hAnsi="微軟正黑體" w:hint="eastAsia"/>
          <w:sz w:val="20"/>
          <w:szCs w:val="20"/>
        </w:rPr>
      </w:pPr>
    </w:p>
    <w:p w:rsidR="00B23F08" w:rsidRPr="0019376C" w:rsidRDefault="00B23F08" w:rsidP="00E10B62">
      <w:pPr>
        <w:rPr>
          <w:rFonts w:ascii="微軟正黑體" w:eastAsia="微軟正黑體" w:hAnsi="微軟正黑體"/>
          <w:sz w:val="20"/>
          <w:szCs w:val="20"/>
        </w:rPr>
      </w:pPr>
    </w:p>
    <w:p w:rsidR="00FB04FD" w:rsidRDefault="00FB04FD"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r>
        <w:rPr>
          <w:rFonts w:hint="eastAsia"/>
          <w:b/>
          <w:noProof/>
          <w:szCs w:val="24"/>
        </w:rPr>
        <w:drawing>
          <wp:anchor distT="0" distB="0" distL="114300" distR="114300" simplePos="0" relativeHeight="251659264" behindDoc="0" locked="0" layoutInCell="1" allowOverlap="1">
            <wp:simplePos x="0" y="0"/>
            <wp:positionH relativeFrom="column">
              <wp:posOffset>2767330</wp:posOffset>
            </wp:positionH>
            <wp:positionV relativeFrom="paragraph">
              <wp:posOffset>5080</wp:posOffset>
            </wp:positionV>
            <wp:extent cx="3275330" cy="3561715"/>
            <wp:effectExtent l="19050" t="0" r="1270" b="0"/>
            <wp:wrapNone/>
            <wp:docPr id="2" name="圖片 2" descr="f18-8"/>
            <wp:cNvGraphicFramePr/>
            <a:graphic xmlns:a="http://schemas.openxmlformats.org/drawingml/2006/main">
              <a:graphicData uri="http://schemas.openxmlformats.org/drawingml/2006/picture">
                <pic:pic xmlns:pic="http://schemas.openxmlformats.org/drawingml/2006/picture">
                  <pic:nvPicPr>
                    <pic:cNvPr id="237572" name="Picture 4" descr="f18-8"/>
                    <pic:cNvPicPr>
                      <a:picLocks noChangeAspect="1" noChangeArrowheads="1"/>
                    </pic:cNvPicPr>
                  </pic:nvPicPr>
                  <pic:blipFill>
                    <a:blip r:embed="rId8" cstate="print"/>
                    <a:srcRect/>
                    <a:stretch>
                      <a:fillRect/>
                    </a:stretch>
                  </pic:blipFill>
                  <pic:spPr bwMode="auto">
                    <a:xfrm>
                      <a:off x="0" y="0"/>
                      <a:ext cx="3275330" cy="3561715"/>
                    </a:xfrm>
                    <a:prstGeom prst="rect">
                      <a:avLst/>
                    </a:prstGeom>
                    <a:noFill/>
                  </pic:spPr>
                </pic:pic>
              </a:graphicData>
            </a:graphic>
          </wp:anchor>
        </w:drawing>
      </w: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r>
        <w:rPr>
          <w:rFonts w:hint="eastAsia"/>
          <w:b/>
          <w:noProof/>
          <w:szCs w:val="24"/>
        </w:rPr>
        <w:pict>
          <v:shapetype id="_x0000_t202" coordsize="21600,21600" o:spt="202" path="m,l,21600r21600,l21600,xe">
            <v:stroke joinstyle="miter"/>
            <v:path gradientshapeok="t" o:connecttype="rect"/>
          </v:shapetype>
          <v:shape id="_x0000_s1026" type="#_x0000_t202" style="position:absolute;margin-left:397.25pt;margin-top:10.05pt;width:81.25pt;height:25.15pt;z-index:251660288">
            <v:textbox>
              <w:txbxContent>
                <w:p w:rsidR="00DE663C" w:rsidRDefault="00DE663C">
                  <w:r>
                    <w:rPr>
                      <w:rFonts w:hint="eastAsia"/>
                    </w:rPr>
                    <w:t>綠色供應鏈</w:t>
                  </w:r>
                </w:p>
              </w:txbxContent>
            </v:textbox>
          </v:shape>
        </w:pict>
      </w: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Pr="00DE663C" w:rsidRDefault="00DE663C" w:rsidP="00E10B62">
      <w:pPr>
        <w:rPr>
          <w:rFonts w:hint="eastAsia"/>
          <w:szCs w:val="24"/>
        </w:rPr>
      </w:pPr>
      <w:r w:rsidRPr="00DE663C">
        <w:rPr>
          <w:rFonts w:hint="eastAsia"/>
          <w:szCs w:val="24"/>
        </w:rPr>
        <w:t>企業流程再造</w:t>
      </w:r>
      <w:r w:rsidRPr="00DE663C">
        <w:rPr>
          <w:rFonts w:hint="eastAsia"/>
          <w:szCs w:val="24"/>
        </w:rPr>
        <w:t>(BRP)</w:t>
      </w:r>
      <w:r>
        <w:rPr>
          <w:rFonts w:hint="eastAsia"/>
          <w:szCs w:val="24"/>
        </w:rPr>
        <w:t>點線面績效評估系統</w:t>
      </w: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rFonts w:hint="eastAsia"/>
          <w:b/>
          <w:szCs w:val="24"/>
        </w:rPr>
      </w:pPr>
    </w:p>
    <w:p w:rsidR="00DE663C" w:rsidRDefault="00DE663C" w:rsidP="00E10B62">
      <w:pPr>
        <w:rPr>
          <w:b/>
          <w:szCs w:val="24"/>
        </w:rPr>
      </w:pPr>
    </w:p>
    <w:p w:rsidR="00DA3256" w:rsidRPr="0019376C" w:rsidRDefault="00FB04FD" w:rsidP="00E10B62">
      <w:pPr>
        <w:rPr>
          <w:rFonts w:ascii="微軟正黑體" w:eastAsia="微軟正黑體" w:hAnsi="微軟正黑體"/>
          <w:sz w:val="20"/>
          <w:szCs w:val="20"/>
        </w:rPr>
      </w:pPr>
      <w:r w:rsidRPr="0019376C">
        <w:rPr>
          <w:rFonts w:ascii="微軟正黑體" w:eastAsia="微軟正黑體" w:hAnsi="微軟正黑體" w:hint="eastAsia"/>
          <w:b/>
          <w:szCs w:val="24"/>
        </w:rPr>
        <w:lastRenderedPageBreak/>
        <w:t>智慧財產權(</w:t>
      </w:r>
      <w:r w:rsidR="00501153" w:rsidRPr="0019376C">
        <w:rPr>
          <w:rFonts w:ascii="微軟正黑體" w:eastAsia="微軟正黑體" w:hAnsi="微軟正黑體" w:hint="eastAsia"/>
          <w:b/>
          <w:szCs w:val="24"/>
        </w:rPr>
        <w:t xml:space="preserve">Intellectual Property </w:t>
      </w:r>
      <w:proofErr w:type="spellStart"/>
      <w:r w:rsidR="00501153" w:rsidRPr="0019376C">
        <w:rPr>
          <w:rFonts w:ascii="微軟正黑體" w:eastAsia="微軟正黑體" w:hAnsi="微軟正黑體" w:hint="eastAsia"/>
          <w:b/>
          <w:szCs w:val="24"/>
        </w:rPr>
        <w:t>Rights,</w:t>
      </w:r>
      <w:r w:rsidRPr="0019376C">
        <w:rPr>
          <w:rFonts w:ascii="微軟正黑體" w:eastAsia="微軟正黑體" w:hAnsi="微軟正黑體" w:hint="eastAsia"/>
          <w:b/>
          <w:szCs w:val="24"/>
        </w:rPr>
        <w:t>IPR</w:t>
      </w:r>
      <w:proofErr w:type="spellEnd"/>
      <w:r w:rsidRPr="0019376C">
        <w:rPr>
          <w:rFonts w:ascii="微軟正黑體" w:eastAsia="微軟正黑體" w:hAnsi="微軟正黑體" w:hint="eastAsia"/>
          <w:b/>
          <w:szCs w:val="24"/>
        </w:rPr>
        <w:t>)</w:t>
      </w:r>
    </w:p>
    <w:p w:rsidR="00F83D1B" w:rsidRPr="0019376C" w:rsidRDefault="00FB04FD" w:rsidP="00F83D1B">
      <w:pPr>
        <w:rPr>
          <w:rFonts w:ascii="微軟正黑體" w:eastAsia="微軟正黑體" w:hAnsi="微軟正黑體"/>
          <w:sz w:val="20"/>
          <w:szCs w:val="20"/>
        </w:rPr>
      </w:pPr>
      <w:r w:rsidRPr="0019376C">
        <w:rPr>
          <w:rFonts w:ascii="微軟正黑體" w:eastAsia="微軟正黑體" w:hAnsi="微軟正黑體" w:hint="eastAsia"/>
          <w:sz w:val="20"/>
          <w:szCs w:val="20"/>
        </w:rPr>
        <w:t>國家立法保護人們的思想、創作</w:t>
      </w:r>
    </w:p>
    <w:p w:rsidR="00DA3256" w:rsidRPr="0019376C" w:rsidRDefault="00F83D1B" w:rsidP="00F83D1B">
      <w:pPr>
        <w:rPr>
          <w:rFonts w:ascii="微軟正黑體" w:eastAsia="微軟正黑體" w:hAnsi="微軟正黑體"/>
          <w:sz w:val="20"/>
          <w:szCs w:val="20"/>
        </w:rPr>
      </w:pPr>
      <w:r w:rsidRPr="0019376C">
        <w:rPr>
          <w:rFonts w:ascii="微軟正黑體" w:eastAsia="微軟正黑體" w:hAnsi="微軟正黑體" w:hint="eastAsia"/>
          <w:sz w:val="20"/>
          <w:szCs w:val="20"/>
        </w:rPr>
        <w:t>保護期限 發明專利是自申請日起算20年</w:t>
      </w:r>
    </w:p>
    <w:p w:rsidR="00DA3256" w:rsidRPr="0019376C" w:rsidRDefault="00FB04FD"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包括專利法、商標法、著作權法、營業秘密法、積體電路電路布局保護法</w:t>
      </w:r>
    </w:p>
    <w:p w:rsidR="00F13975" w:rsidRPr="0019376C" w:rsidRDefault="00F13975" w:rsidP="00E10B62">
      <w:pPr>
        <w:rPr>
          <w:rFonts w:ascii="微軟正黑體" w:eastAsia="微軟正黑體" w:hAnsi="微軟正黑體"/>
          <w:sz w:val="20"/>
          <w:szCs w:val="20"/>
        </w:rPr>
      </w:pPr>
      <w:r w:rsidRPr="0019376C">
        <w:rPr>
          <w:rFonts w:ascii="微軟正黑體" w:eastAsia="微軟正黑體" w:hAnsi="微軟正黑體" w:hint="eastAsia"/>
          <w:sz w:val="20"/>
          <w:szCs w:val="20"/>
        </w:rPr>
        <w:t>其中公平交易法(公平交易委員會)、植物種苗法(農業委員會)與智財權並無太大關連</w:t>
      </w:r>
    </w:p>
    <w:p w:rsidR="00A730A9" w:rsidRPr="0019376C" w:rsidRDefault="00A730A9" w:rsidP="00E10B62">
      <w:pPr>
        <w:rPr>
          <w:rFonts w:ascii="微軟正黑體" w:eastAsia="微軟正黑體" w:hAnsi="微軟正黑體"/>
          <w:sz w:val="20"/>
          <w:szCs w:val="20"/>
        </w:rPr>
      </w:pPr>
    </w:p>
    <w:p w:rsidR="00DA3256" w:rsidRPr="0019376C" w:rsidRDefault="00A730A9" w:rsidP="00E10B62">
      <w:pPr>
        <w:rPr>
          <w:rFonts w:ascii="微軟正黑體" w:eastAsia="微軟正黑體" w:hAnsi="微軟正黑體"/>
          <w:sz w:val="20"/>
          <w:szCs w:val="20"/>
        </w:rPr>
      </w:pPr>
      <w:r w:rsidRPr="0019376C">
        <w:rPr>
          <w:rFonts w:ascii="微軟正黑體" w:eastAsia="微軟正黑體" w:hAnsi="微軟正黑體" w:hint="eastAsia"/>
          <w:b/>
          <w:sz w:val="20"/>
          <w:szCs w:val="20"/>
        </w:rPr>
        <w:t>專利</w:t>
      </w:r>
      <w:r w:rsidRPr="0019376C">
        <w:rPr>
          <w:rFonts w:ascii="微軟正黑體" w:eastAsia="微軟正黑體" w:hAnsi="微軟正黑體" w:hint="eastAsia"/>
          <w:sz w:val="20"/>
          <w:szCs w:val="20"/>
        </w:rPr>
        <w:t>(屬地主義，我國已先申請為原則)是指政府對於發明或發現新穎而實用的方法、機械、製品或合成物，或是對於上述方法、機械、製品或合成物有新穎或實用之改進者，所頒給的一種在一定期間內獨享製造、生產、使用或銷售權利，專利分為發明、新型及新式樣</w:t>
      </w:r>
    </w:p>
    <w:p w:rsidR="00A730A9" w:rsidRPr="0019376C" w:rsidRDefault="00A730A9" w:rsidP="00A730A9">
      <w:pPr>
        <w:rPr>
          <w:rFonts w:ascii="微軟正黑體" w:eastAsia="微軟正黑體" w:hAnsi="微軟正黑體"/>
          <w:sz w:val="20"/>
          <w:szCs w:val="20"/>
        </w:rPr>
      </w:pPr>
      <w:r w:rsidRPr="0019376C">
        <w:rPr>
          <w:rFonts w:ascii="微軟正黑體" w:eastAsia="微軟正黑體" w:hAnsi="微軟正黑體" w:hint="eastAsia"/>
          <w:b/>
          <w:sz w:val="20"/>
          <w:szCs w:val="20"/>
        </w:rPr>
        <w:t>商標</w:t>
      </w:r>
      <w:r w:rsidRPr="0019376C">
        <w:rPr>
          <w:rFonts w:ascii="微軟正黑體" w:eastAsia="微軟正黑體" w:hAnsi="微軟正黑體" w:hint="eastAsia"/>
          <w:sz w:val="20"/>
          <w:szCs w:val="20"/>
        </w:rPr>
        <w:t>指製造者或商人，為表彰其商品，並與他人製造販賣商品互相區別，而採納或使用的文字、名稱、符號、圖樣、或其聯合式，商標基本上又發展出證明標章、團體標章、團體商標</w:t>
      </w:r>
    </w:p>
    <w:p w:rsidR="00A730A9" w:rsidRPr="0019376C" w:rsidRDefault="00A730A9" w:rsidP="00A730A9">
      <w:pPr>
        <w:rPr>
          <w:rFonts w:ascii="微軟正黑體" w:eastAsia="微軟正黑體" w:hAnsi="微軟正黑體"/>
          <w:sz w:val="20"/>
          <w:szCs w:val="20"/>
        </w:rPr>
      </w:pPr>
      <w:r w:rsidRPr="0019376C">
        <w:rPr>
          <w:rFonts w:ascii="微軟正黑體" w:eastAsia="微軟正黑體" w:hAnsi="微軟正黑體" w:hint="eastAsia"/>
          <w:b/>
          <w:sz w:val="20"/>
          <w:szCs w:val="20"/>
        </w:rPr>
        <w:t>著作權</w:t>
      </w:r>
      <w:r w:rsidRPr="0019376C">
        <w:rPr>
          <w:rFonts w:ascii="微軟正黑體" w:eastAsia="微軟正黑體" w:hAnsi="微軟正黑體" w:hint="eastAsia"/>
          <w:sz w:val="20"/>
          <w:szCs w:val="20"/>
        </w:rPr>
        <w:t>即著作人得利用其著作之權利，屬具有排他效力的絕對權，若他人不法侵害其權利，著作財產權人得請求排除其侵害，並請求損害排除。大體可分為註冊主義、創作主義</w:t>
      </w:r>
    </w:p>
    <w:p w:rsidR="00DA3256" w:rsidRPr="0019376C" w:rsidRDefault="005832FC" w:rsidP="005832FC">
      <w:pPr>
        <w:rPr>
          <w:rFonts w:ascii="微軟正黑體" w:eastAsia="微軟正黑體" w:hAnsi="微軟正黑體"/>
          <w:b/>
          <w:sz w:val="20"/>
          <w:szCs w:val="20"/>
        </w:rPr>
      </w:pPr>
      <w:r w:rsidRPr="0019376C">
        <w:rPr>
          <w:rFonts w:ascii="微軟正黑體" w:eastAsia="微軟正黑體" w:hAnsi="微軟正黑體" w:hint="eastAsia"/>
          <w:b/>
          <w:sz w:val="20"/>
          <w:szCs w:val="20"/>
        </w:rPr>
        <w:t>營業</w:t>
      </w:r>
      <w:proofErr w:type="gramStart"/>
      <w:r w:rsidRPr="0019376C">
        <w:rPr>
          <w:rFonts w:ascii="微軟正黑體" w:eastAsia="微軟正黑體" w:hAnsi="微軟正黑體" w:hint="eastAsia"/>
          <w:b/>
          <w:sz w:val="20"/>
          <w:szCs w:val="20"/>
        </w:rPr>
        <w:t>秘密法</w:t>
      </w:r>
      <w:r w:rsidRPr="0019376C">
        <w:rPr>
          <w:rFonts w:ascii="微軟正黑體" w:eastAsia="微軟正黑體" w:hAnsi="微軟正黑體" w:hint="eastAsia"/>
          <w:sz w:val="20"/>
          <w:szCs w:val="20"/>
        </w:rPr>
        <w:t>指方法</w:t>
      </w:r>
      <w:proofErr w:type="gramEnd"/>
      <w:r w:rsidRPr="0019376C">
        <w:rPr>
          <w:rFonts w:ascii="微軟正黑體" w:eastAsia="微軟正黑體" w:hAnsi="微軟正黑體" w:hint="eastAsia"/>
          <w:sz w:val="20"/>
          <w:szCs w:val="20"/>
        </w:rPr>
        <w:t>、技術、製程、配方、程式、設計或其他可用於生產、銷售或經營之資訊，且符合非一般涉及該類資訊之人所知者。</w:t>
      </w:r>
    </w:p>
    <w:p w:rsidR="005832FC" w:rsidRPr="0019376C" w:rsidRDefault="005832FC" w:rsidP="005832FC">
      <w:pPr>
        <w:rPr>
          <w:rFonts w:ascii="微軟正黑體" w:eastAsia="微軟正黑體" w:hAnsi="微軟正黑體"/>
          <w:sz w:val="20"/>
          <w:szCs w:val="20"/>
        </w:rPr>
      </w:pPr>
      <w:r w:rsidRPr="0019376C">
        <w:rPr>
          <w:rFonts w:ascii="微軟正黑體" w:eastAsia="微軟正黑體" w:hAnsi="微軟正黑體" w:hint="eastAsia"/>
          <w:b/>
          <w:sz w:val="20"/>
          <w:szCs w:val="20"/>
        </w:rPr>
        <w:t>積體電路</w:t>
      </w:r>
      <w:r w:rsidRPr="0019376C">
        <w:rPr>
          <w:rFonts w:ascii="微軟正黑體" w:eastAsia="微軟正黑體" w:hAnsi="微軟正黑體" w:hint="eastAsia"/>
          <w:sz w:val="20"/>
          <w:szCs w:val="20"/>
        </w:rPr>
        <w:t>指將電晶體、電容器、電阻器或其他電子元件及其之間的連接線路，</w:t>
      </w:r>
      <w:proofErr w:type="gramStart"/>
      <w:r w:rsidRPr="0019376C">
        <w:rPr>
          <w:rFonts w:ascii="微軟正黑體" w:eastAsia="微軟正黑體" w:hAnsi="微軟正黑體" w:hint="eastAsia"/>
          <w:sz w:val="20"/>
          <w:szCs w:val="20"/>
        </w:rPr>
        <w:t>集積在</w:t>
      </w:r>
      <w:proofErr w:type="gramEnd"/>
      <w:r w:rsidRPr="0019376C">
        <w:rPr>
          <w:rFonts w:ascii="微軟正黑體" w:eastAsia="微軟正黑體" w:hAnsi="微軟正黑體" w:hint="eastAsia"/>
          <w:sz w:val="20"/>
          <w:szCs w:val="20"/>
        </w:rPr>
        <w:t>半導體材料上或材料中，而具有電子電路功能之成品或半成品。</w:t>
      </w:r>
    </w:p>
    <w:p w:rsidR="00A32CB8" w:rsidRPr="0019376C" w:rsidRDefault="005832FC" w:rsidP="005832FC">
      <w:pPr>
        <w:rPr>
          <w:rFonts w:ascii="微軟正黑體" w:eastAsia="微軟正黑體" w:hAnsi="微軟正黑體"/>
          <w:sz w:val="20"/>
          <w:szCs w:val="20"/>
        </w:rPr>
      </w:pPr>
      <w:r w:rsidRPr="0019376C">
        <w:rPr>
          <w:rFonts w:ascii="微軟正黑體" w:eastAsia="微軟正黑體" w:hAnsi="微軟正黑體" w:hint="eastAsia"/>
          <w:b/>
          <w:sz w:val="20"/>
          <w:szCs w:val="20"/>
        </w:rPr>
        <w:t>電路布局</w:t>
      </w:r>
      <w:r w:rsidRPr="0019376C">
        <w:rPr>
          <w:rFonts w:ascii="微軟正黑體" w:eastAsia="微軟正黑體" w:hAnsi="微軟正黑體" w:hint="eastAsia"/>
          <w:sz w:val="20"/>
          <w:szCs w:val="20"/>
        </w:rPr>
        <w:t>指在積體電路上之電子元件及接續此元件之導線的平面或立體設計。</w:t>
      </w:r>
    </w:p>
    <w:p w:rsidR="00A32CB8" w:rsidRPr="0019376C" w:rsidRDefault="00A32CB8" w:rsidP="005832FC">
      <w:pPr>
        <w:rPr>
          <w:rFonts w:ascii="微軟正黑體" w:eastAsia="微軟正黑體" w:hAnsi="微軟正黑體"/>
          <w:sz w:val="20"/>
          <w:szCs w:val="20"/>
        </w:rPr>
      </w:pPr>
      <w:r w:rsidRPr="0019376C">
        <w:rPr>
          <w:rFonts w:ascii="微軟正黑體" w:eastAsia="微軟正黑體" w:hAnsi="微軟正黑體" w:hint="eastAsia"/>
          <w:b/>
          <w:sz w:val="20"/>
          <w:szCs w:val="20"/>
        </w:rPr>
        <w:t>公平交易法</w:t>
      </w:r>
      <w:r w:rsidRPr="0019376C">
        <w:rPr>
          <w:rFonts w:ascii="微軟正黑體" w:eastAsia="微軟正黑體" w:hAnsi="微軟正黑體" w:hint="eastAsia"/>
          <w:sz w:val="20"/>
          <w:szCs w:val="20"/>
        </w:rPr>
        <w:t>主要是為了維護交易秩序與消費者利益，確保公平競爭，促進經濟之安定與</w:t>
      </w:r>
      <w:proofErr w:type="gramStart"/>
      <w:r w:rsidRPr="0019376C">
        <w:rPr>
          <w:rFonts w:ascii="微軟正黑體" w:eastAsia="微軟正黑體" w:hAnsi="微軟正黑體" w:hint="eastAsia"/>
          <w:sz w:val="20"/>
          <w:szCs w:val="20"/>
        </w:rPr>
        <w:t>繁榮，</w:t>
      </w:r>
      <w:proofErr w:type="gramEnd"/>
      <w:r w:rsidRPr="0019376C">
        <w:rPr>
          <w:rFonts w:ascii="微軟正黑體" w:eastAsia="微軟正黑體" w:hAnsi="微軟正黑體" w:hint="eastAsia"/>
          <w:sz w:val="20"/>
          <w:szCs w:val="20"/>
        </w:rPr>
        <w:t>避免企業使用獨占、結合、聯合行為壟斷市場交易之公平性。</w:t>
      </w:r>
    </w:p>
    <w:p w:rsidR="00DA3256" w:rsidRPr="0019376C" w:rsidRDefault="00A32CB8" w:rsidP="00E10B62">
      <w:pPr>
        <w:rPr>
          <w:rFonts w:ascii="微軟正黑體" w:eastAsia="微軟正黑體" w:hAnsi="微軟正黑體"/>
          <w:sz w:val="20"/>
          <w:szCs w:val="20"/>
        </w:rPr>
      </w:pPr>
      <w:r w:rsidRPr="0019376C">
        <w:rPr>
          <w:rFonts w:ascii="微軟正黑體" w:eastAsia="微軟正黑體" w:hAnsi="微軟正黑體" w:hint="eastAsia"/>
          <w:b/>
          <w:sz w:val="20"/>
          <w:szCs w:val="20"/>
        </w:rPr>
        <w:t>植物種苗法</w:t>
      </w:r>
      <w:r w:rsidRPr="0019376C">
        <w:rPr>
          <w:rFonts w:ascii="微軟正黑體" w:eastAsia="微軟正黑體" w:hAnsi="微軟正黑體" w:hint="eastAsia"/>
          <w:sz w:val="20"/>
          <w:szCs w:val="20"/>
        </w:rPr>
        <w:t>目的為實施植物種苗管理，保護新品種之權利，促進品種改良，以利農業生產，增進農民利益。</w:t>
      </w:r>
    </w:p>
    <w:p w:rsidR="006C2C49" w:rsidRPr="0019376C" w:rsidRDefault="006C2C49" w:rsidP="006C2C49">
      <w:pPr>
        <w:rPr>
          <w:rFonts w:ascii="微軟正黑體" w:eastAsia="微軟正黑體" w:hAnsi="微軟正黑體"/>
          <w:sz w:val="20"/>
          <w:szCs w:val="20"/>
        </w:rPr>
      </w:pPr>
      <w:r w:rsidRPr="0019376C">
        <w:rPr>
          <w:rFonts w:ascii="微軟正黑體" w:eastAsia="微軟正黑體" w:hAnsi="微軟正黑體" w:hint="eastAsia"/>
          <w:b/>
          <w:sz w:val="20"/>
          <w:szCs w:val="20"/>
        </w:rPr>
        <w:t>策略聯盟</w:t>
      </w:r>
      <w:r w:rsidRPr="0019376C">
        <w:rPr>
          <w:rFonts w:ascii="微軟正黑體" w:eastAsia="微軟正黑體" w:hAnsi="微軟正黑體" w:hint="eastAsia"/>
          <w:sz w:val="20"/>
          <w:szCs w:val="20"/>
        </w:rPr>
        <w:t>指兩個或多個的企業或事業單位，為了達成策略上彼此互利的重要目標，用以確保、維持或增進公司的競爭優勢，所形成的伙伴關係。</w:t>
      </w:r>
    </w:p>
    <w:p w:rsidR="006C2C49" w:rsidRPr="0019376C" w:rsidRDefault="006C2C49" w:rsidP="006C2C49">
      <w:pPr>
        <w:rPr>
          <w:rFonts w:ascii="微軟正黑體" w:eastAsia="微軟正黑體" w:hAnsi="微軟正黑體"/>
          <w:sz w:val="20"/>
          <w:szCs w:val="20"/>
        </w:rPr>
      </w:pPr>
      <w:r w:rsidRPr="0019376C">
        <w:rPr>
          <w:rFonts w:ascii="微軟正黑體" w:eastAsia="微軟正黑體" w:hAnsi="微軟正黑體" w:hint="eastAsia"/>
          <w:b/>
          <w:sz w:val="20"/>
          <w:szCs w:val="20"/>
        </w:rPr>
        <w:t>企業購</w:t>
      </w:r>
      <w:proofErr w:type="gramStart"/>
      <w:r w:rsidRPr="0019376C">
        <w:rPr>
          <w:rFonts w:ascii="微軟正黑體" w:eastAsia="微軟正黑體" w:hAnsi="微軟正黑體" w:hint="eastAsia"/>
          <w:b/>
          <w:sz w:val="20"/>
          <w:szCs w:val="20"/>
        </w:rPr>
        <w:t>併</w:t>
      </w:r>
      <w:proofErr w:type="gramEnd"/>
      <w:r w:rsidRPr="0019376C">
        <w:rPr>
          <w:rFonts w:ascii="微軟正黑體" w:eastAsia="微軟正黑體" w:hAnsi="微軟正黑體" w:hint="eastAsia"/>
          <w:sz w:val="20"/>
          <w:szCs w:val="20"/>
        </w:rPr>
        <w:t>指企業經由合併、收購股權或收購資產的方式，以取得經營權或控制權之經濟行為。</w:t>
      </w:r>
    </w:p>
    <w:p w:rsidR="00DA3256" w:rsidRPr="0019376C" w:rsidRDefault="006C2C49" w:rsidP="00E10B62">
      <w:pPr>
        <w:rPr>
          <w:rFonts w:ascii="微軟正黑體" w:eastAsia="微軟正黑體" w:hAnsi="微軟正黑體"/>
          <w:sz w:val="20"/>
          <w:szCs w:val="20"/>
        </w:rPr>
      </w:pPr>
      <w:r w:rsidRPr="0019376C">
        <w:rPr>
          <w:rFonts w:ascii="微軟正黑體" w:eastAsia="微軟正黑體" w:hAnsi="微軟正黑體" w:hint="eastAsia"/>
          <w:b/>
          <w:sz w:val="20"/>
          <w:szCs w:val="20"/>
        </w:rPr>
        <w:t>合併</w:t>
      </w:r>
      <w:r w:rsidRPr="0019376C">
        <w:rPr>
          <w:rFonts w:ascii="微軟正黑體" w:eastAsia="微軟正黑體" w:hAnsi="微軟正黑體" w:hint="eastAsia"/>
          <w:sz w:val="20"/>
          <w:szCs w:val="20"/>
        </w:rPr>
        <w:t>是指依據法令規定完成一定程序後，由存續公司或新設公司概括承受消滅公司之一切權利義務，目標公司或收購公司因而喪失其法人人格者言之。</w:t>
      </w:r>
    </w:p>
    <w:p w:rsidR="006C2C49" w:rsidRPr="0019376C" w:rsidRDefault="006C2C49" w:rsidP="006C2C49">
      <w:pPr>
        <w:rPr>
          <w:rFonts w:ascii="微軟正黑體" w:eastAsia="微軟正黑體" w:hAnsi="微軟正黑體"/>
          <w:sz w:val="20"/>
          <w:szCs w:val="20"/>
        </w:rPr>
      </w:pPr>
      <w:r w:rsidRPr="0019376C">
        <w:rPr>
          <w:rFonts w:ascii="微軟正黑體" w:eastAsia="微軟正黑體" w:hAnsi="微軟正黑體" w:hint="eastAsia"/>
          <w:b/>
          <w:sz w:val="20"/>
          <w:szCs w:val="20"/>
        </w:rPr>
        <w:t>股權收購</w:t>
      </w:r>
      <w:r w:rsidRPr="0019376C">
        <w:rPr>
          <w:rFonts w:ascii="微軟正黑體" w:eastAsia="微軟正黑體" w:hAnsi="微軟正黑體" w:hint="eastAsia"/>
          <w:sz w:val="20"/>
          <w:szCs w:val="20"/>
        </w:rPr>
        <w:t>收購公司與目標公司仍分別獨立存在，目標公司則成為收購公司之子公司。</w:t>
      </w:r>
    </w:p>
    <w:p w:rsidR="00DA3256" w:rsidRPr="0019376C" w:rsidRDefault="006C2C49" w:rsidP="00E10B62">
      <w:pPr>
        <w:rPr>
          <w:rFonts w:ascii="微軟正黑體" w:eastAsia="微軟正黑體" w:hAnsi="微軟正黑體" w:hint="eastAsia"/>
          <w:sz w:val="20"/>
          <w:szCs w:val="20"/>
        </w:rPr>
      </w:pPr>
      <w:r w:rsidRPr="0019376C">
        <w:rPr>
          <w:rFonts w:ascii="微軟正黑體" w:eastAsia="微軟正黑體" w:hAnsi="微軟正黑體" w:hint="eastAsia"/>
          <w:b/>
          <w:sz w:val="20"/>
          <w:szCs w:val="20"/>
        </w:rPr>
        <w:t>資產收購</w:t>
      </w:r>
      <w:r w:rsidRPr="0019376C">
        <w:rPr>
          <w:rFonts w:ascii="微軟正黑體" w:eastAsia="微軟正黑體" w:hAnsi="微軟正黑體" w:hint="eastAsia"/>
          <w:sz w:val="20"/>
          <w:szCs w:val="20"/>
        </w:rPr>
        <w:t>收購公司與目標公司仍分別獨立存在，收購公司僅取得目標公司之資產。</w:t>
      </w:r>
    </w:p>
    <w:p w:rsidR="00501153" w:rsidRPr="0019376C" w:rsidRDefault="00501153" w:rsidP="00E10B62">
      <w:pPr>
        <w:rPr>
          <w:rFonts w:ascii="微軟正黑體" w:eastAsia="微軟正黑體" w:hAnsi="微軟正黑體" w:cs="Arial" w:hint="eastAsia"/>
          <w:b/>
          <w:bCs/>
          <w:szCs w:val="24"/>
          <w:shd w:val="clear" w:color="auto" w:fill="FFFFFF"/>
          <w:lang/>
        </w:rPr>
      </w:pPr>
      <w:r w:rsidRPr="0019376C">
        <w:rPr>
          <w:rFonts w:ascii="微軟正黑體" w:eastAsia="微軟正黑體" w:hAnsi="微軟正黑體" w:cs="Arial"/>
          <w:b/>
          <w:bCs/>
          <w:szCs w:val="24"/>
          <w:shd w:val="clear" w:color="auto" w:fill="FFFFFF"/>
        </w:rPr>
        <w:t>國際標準化組織</w:t>
      </w:r>
      <w:r w:rsidRPr="0019376C">
        <w:rPr>
          <w:rFonts w:ascii="微軟正黑體" w:eastAsia="微軟正黑體" w:hAnsi="微軟正黑體" w:cstheme="minorHAnsi"/>
          <w:b/>
          <w:szCs w:val="24"/>
          <w:shd w:val="clear" w:color="auto" w:fill="FFFFFF"/>
        </w:rPr>
        <w:t>(</w:t>
      </w:r>
      <w:r w:rsidRPr="0019376C">
        <w:rPr>
          <w:rStyle w:val="langwithname"/>
          <w:rFonts w:ascii="微軟正黑體" w:eastAsia="微軟正黑體" w:hAnsi="微軟正黑體" w:cstheme="minorHAnsi"/>
          <w:b/>
          <w:bCs/>
          <w:szCs w:val="24"/>
          <w:shd w:val="clear" w:color="auto" w:fill="FFFFFF"/>
          <w:lang/>
        </w:rPr>
        <w:t>International Organization for Standardization</w:t>
      </w:r>
      <w:r w:rsidRPr="0019376C">
        <w:rPr>
          <w:rFonts w:ascii="微軟正黑體" w:eastAsia="微軟正黑體" w:hAnsi="微軟正黑體" w:cstheme="minorHAnsi"/>
          <w:b/>
          <w:szCs w:val="24"/>
          <w:shd w:val="clear" w:color="auto" w:fill="FFFFFF"/>
        </w:rPr>
        <w:t>,</w:t>
      </w:r>
      <w:r w:rsidRPr="0019376C">
        <w:rPr>
          <w:rFonts w:ascii="微軟正黑體" w:eastAsia="微軟正黑體" w:hAnsi="微軟正黑體" w:cstheme="minorHAnsi"/>
          <w:b/>
          <w:bCs/>
          <w:szCs w:val="24"/>
          <w:shd w:val="clear" w:color="auto" w:fill="FFFFFF"/>
          <w:lang/>
        </w:rPr>
        <w:t>ISO)</w:t>
      </w:r>
    </w:p>
    <w:p w:rsidR="00501153" w:rsidRPr="0019376C" w:rsidRDefault="00501153" w:rsidP="00E10B62">
      <w:pPr>
        <w:rPr>
          <w:rFonts w:ascii="微軟正黑體" w:eastAsia="微軟正黑體" w:hAnsi="微軟正黑體" w:hint="eastAsia"/>
          <w:sz w:val="20"/>
          <w:szCs w:val="20"/>
        </w:rPr>
      </w:pPr>
      <w:r w:rsidRPr="0019376C">
        <w:rPr>
          <w:rFonts w:ascii="微軟正黑體" w:eastAsia="微軟正黑體" w:hAnsi="微軟正黑體" w:hint="eastAsia"/>
          <w:sz w:val="20"/>
          <w:szCs w:val="20"/>
        </w:rPr>
        <w:t>制定全世界工商業國際標準的國際標準建立機構</w:t>
      </w:r>
    </w:p>
    <w:p w:rsidR="00501153" w:rsidRDefault="00501153" w:rsidP="00E10B62">
      <w:pPr>
        <w:rPr>
          <w:rFonts w:ascii="微軟正黑體" w:eastAsia="微軟正黑體" w:hAnsi="微軟正黑體" w:hint="eastAsia"/>
          <w:sz w:val="20"/>
          <w:szCs w:val="20"/>
        </w:rPr>
      </w:pPr>
      <w:r w:rsidRPr="0019376C">
        <w:rPr>
          <w:rFonts w:ascii="微軟正黑體" w:eastAsia="微軟正黑體" w:hAnsi="微軟正黑體" w:hint="eastAsia"/>
          <w:sz w:val="20"/>
          <w:szCs w:val="20"/>
        </w:rPr>
        <w:t>例:ISO9000 類似於CNS 12680 品質管理系統</w:t>
      </w:r>
    </w:p>
    <w:p w:rsidR="00B23F08" w:rsidRPr="00B23F08" w:rsidRDefault="00B23F08" w:rsidP="00E10B62">
      <w:pPr>
        <w:rPr>
          <w:rFonts w:ascii="微軟正黑體" w:eastAsia="微軟正黑體" w:hAnsi="微軟正黑體" w:hint="eastAsia"/>
          <w:b/>
          <w:i/>
          <w:sz w:val="20"/>
          <w:szCs w:val="20"/>
        </w:rPr>
      </w:pPr>
      <w:r w:rsidRPr="00B23F08">
        <w:rPr>
          <w:rFonts w:ascii="微軟正黑體" w:eastAsia="微軟正黑體" w:hAnsi="微軟正黑體" w:hint="eastAsia"/>
          <w:b/>
          <w:i/>
          <w:sz w:val="20"/>
          <w:szCs w:val="20"/>
        </w:rPr>
        <w:t>產品生命分析PLA</w:t>
      </w:r>
    </w:p>
    <w:p w:rsidR="00B23F08" w:rsidRPr="00B23F08" w:rsidRDefault="00B23F08" w:rsidP="00E10B62">
      <w:pPr>
        <w:rPr>
          <w:rFonts w:ascii="微軟正黑體" w:eastAsia="微軟正黑體" w:hAnsi="微軟正黑體"/>
          <w:i/>
          <w:sz w:val="20"/>
          <w:szCs w:val="20"/>
        </w:rPr>
      </w:pPr>
      <w:r w:rsidRPr="00B23F08">
        <w:rPr>
          <w:rFonts w:ascii="微軟正黑體" w:eastAsia="微軟正黑體" w:hAnsi="微軟正黑體" w:hint="eastAsia"/>
          <w:i/>
          <w:sz w:val="20"/>
          <w:szCs w:val="20"/>
        </w:rPr>
        <w:t>藉由生命週期中分析產品處於生命週期哪</w:t>
      </w:r>
      <w:proofErr w:type="gramStart"/>
      <w:r w:rsidRPr="00B23F08">
        <w:rPr>
          <w:rFonts w:ascii="微軟正黑體" w:eastAsia="微軟正黑體" w:hAnsi="微軟正黑體" w:hint="eastAsia"/>
          <w:i/>
          <w:sz w:val="20"/>
          <w:szCs w:val="20"/>
        </w:rPr>
        <w:t>個</w:t>
      </w:r>
      <w:proofErr w:type="gramEnd"/>
      <w:r w:rsidRPr="00B23F08">
        <w:rPr>
          <w:rFonts w:ascii="微軟正黑體" w:eastAsia="微軟正黑體" w:hAnsi="微軟正黑體" w:hint="eastAsia"/>
          <w:i/>
          <w:sz w:val="20"/>
          <w:szCs w:val="20"/>
        </w:rPr>
        <w:t>階段，並正確把握在市場上的壽命</w:t>
      </w:r>
    </w:p>
    <w:sectPr w:rsidR="00B23F08" w:rsidRPr="00B23F08" w:rsidSect="00BB563B">
      <w:headerReference w:type="default" r:id="rId9"/>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72B9" w:rsidRDefault="00E872B9" w:rsidP="00E10B62">
      <w:r>
        <w:separator/>
      </w:r>
    </w:p>
  </w:endnote>
  <w:endnote w:type="continuationSeparator" w:id="0">
    <w:p w:rsidR="00E872B9" w:rsidRDefault="00E872B9" w:rsidP="00E10B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72B9" w:rsidRDefault="00E872B9" w:rsidP="00E10B62">
      <w:r>
        <w:separator/>
      </w:r>
    </w:p>
  </w:footnote>
  <w:footnote w:type="continuationSeparator" w:id="0">
    <w:p w:rsidR="00E872B9" w:rsidRDefault="00E872B9" w:rsidP="00E10B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B62" w:rsidRDefault="00E10B62">
    <w:pPr>
      <w:pStyle w:val="a3"/>
    </w:pPr>
    <w:r>
      <w:rPr>
        <w:rFonts w:hint="eastAsia"/>
      </w:rPr>
      <w:t>科管期末重點</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5728E"/>
    <w:multiLevelType w:val="hybridMultilevel"/>
    <w:tmpl w:val="83EC945E"/>
    <w:lvl w:ilvl="0" w:tplc="C44054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F5040AE"/>
    <w:multiLevelType w:val="hybridMultilevel"/>
    <w:tmpl w:val="D9D20898"/>
    <w:lvl w:ilvl="0" w:tplc="E5B60A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10B62"/>
    <w:rsid w:val="00123F4A"/>
    <w:rsid w:val="0019376C"/>
    <w:rsid w:val="00415ED1"/>
    <w:rsid w:val="004F5F3B"/>
    <w:rsid w:val="00501153"/>
    <w:rsid w:val="005832FC"/>
    <w:rsid w:val="006C2C49"/>
    <w:rsid w:val="006D7279"/>
    <w:rsid w:val="007F2256"/>
    <w:rsid w:val="00861E42"/>
    <w:rsid w:val="008A3F99"/>
    <w:rsid w:val="00A227B0"/>
    <w:rsid w:val="00A32CB8"/>
    <w:rsid w:val="00A730A9"/>
    <w:rsid w:val="00B23F08"/>
    <w:rsid w:val="00BB563B"/>
    <w:rsid w:val="00DA3256"/>
    <w:rsid w:val="00DE663C"/>
    <w:rsid w:val="00E10B62"/>
    <w:rsid w:val="00E872B9"/>
    <w:rsid w:val="00F13975"/>
    <w:rsid w:val="00F83D1B"/>
    <w:rsid w:val="00FB04F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563B"/>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10B62"/>
    <w:pPr>
      <w:tabs>
        <w:tab w:val="center" w:pos="4153"/>
        <w:tab w:val="right" w:pos="8306"/>
      </w:tabs>
      <w:snapToGrid w:val="0"/>
    </w:pPr>
    <w:rPr>
      <w:sz w:val="20"/>
      <w:szCs w:val="20"/>
    </w:rPr>
  </w:style>
  <w:style w:type="character" w:customStyle="1" w:styleId="a4">
    <w:name w:val="頁首 字元"/>
    <w:basedOn w:val="a0"/>
    <w:link w:val="a3"/>
    <w:uiPriority w:val="99"/>
    <w:semiHidden/>
    <w:rsid w:val="00E10B62"/>
    <w:rPr>
      <w:sz w:val="20"/>
      <w:szCs w:val="20"/>
    </w:rPr>
  </w:style>
  <w:style w:type="paragraph" w:styleId="a5">
    <w:name w:val="footer"/>
    <w:basedOn w:val="a"/>
    <w:link w:val="a6"/>
    <w:uiPriority w:val="99"/>
    <w:semiHidden/>
    <w:unhideWhenUsed/>
    <w:rsid w:val="00E10B62"/>
    <w:pPr>
      <w:tabs>
        <w:tab w:val="center" w:pos="4153"/>
        <w:tab w:val="right" w:pos="8306"/>
      </w:tabs>
      <w:snapToGrid w:val="0"/>
    </w:pPr>
    <w:rPr>
      <w:sz w:val="20"/>
      <w:szCs w:val="20"/>
    </w:rPr>
  </w:style>
  <w:style w:type="character" w:customStyle="1" w:styleId="a6">
    <w:name w:val="頁尾 字元"/>
    <w:basedOn w:val="a0"/>
    <w:link w:val="a5"/>
    <w:uiPriority w:val="99"/>
    <w:semiHidden/>
    <w:rsid w:val="00E10B62"/>
    <w:rPr>
      <w:sz w:val="20"/>
      <w:szCs w:val="20"/>
    </w:rPr>
  </w:style>
  <w:style w:type="paragraph" w:styleId="a7">
    <w:name w:val="List Paragraph"/>
    <w:basedOn w:val="a"/>
    <w:uiPriority w:val="34"/>
    <w:qFormat/>
    <w:rsid w:val="00E10B62"/>
    <w:pPr>
      <w:ind w:leftChars="200" w:left="480"/>
    </w:pPr>
  </w:style>
  <w:style w:type="paragraph" w:styleId="a8">
    <w:name w:val="Balloon Text"/>
    <w:basedOn w:val="a"/>
    <w:link w:val="a9"/>
    <w:uiPriority w:val="99"/>
    <w:semiHidden/>
    <w:unhideWhenUsed/>
    <w:rsid w:val="00DA3256"/>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DA3256"/>
    <w:rPr>
      <w:rFonts w:asciiTheme="majorHAnsi" w:eastAsiaTheme="majorEastAsia" w:hAnsiTheme="majorHAnsi" w:cstheme="majorBidi"/>
      <w:sz w:val="18"/>
      <w:szCs w:val="18"/>
    </w:rPr>
  </w:style>
  <w:style w:type="character" w:customStyle="1" w:styleId="langwithname">
    <w:name w:val="langwithname"/>
    <w:basedOn w:val="a0"/>
    <w:rsid w:val="00501153"/>
  </w:style>
  <w:style w:type="character" w:styleId="aa">
    <w:name w:val="Hyperlink"/>
    <w:basedOn w:val="a0"/>
    <w:uiPriority w:val="99"/>
    <w:semiHidden/>
    <w:unhideWhenUsed/>
    <w:rsid w:val="00501153"/>
    <w:rPr>
      <w:color w:val="0000FF"/>
      <w:u w:val="single"/>
    </w:rPr>
  </w:style>
  <w:style w:type="character" w:styleId="ab">
    <w:name w:val="Placeholder Text"/>
    <w:basedOn w:val="a0"/>
    <w:uiPriority w:val="99"/>
    <w:semiHidden/>
    <w:rsid w:val="0019376C"/>
    <w:rPr>
      <w:color w:val="808080"/>
    </w:rPr>
  </w:style>
</w:styles>
</file>

<file path=word/webSettings.xml><?xml version="1.0" encoding="utf-8"?>
<w:webSettings xmlns:r="http://schemas.openxmlformats.org/officeDocument/2006/relationships" xmlns:w="http://schemas.openxmlformats.org/wordprocessingml/2006/main">
  <w:divs>
    <w:div w:id="99299986">
      <w:bodyDiv w:val="1"/>
      <w:marLeft w:val="0"/>
      <w:marRight w:val="0"/>
      <w:marTop w:val="0"/>
      <w:marBottom w:val="0"/>
      <w:divBdr>
        <w:top w:val="none" w:sz="0" w:space="0" w:color="auto"/>
        <w:left w:val="none" w:sz="0" w:space="0" w:color="auto"/>
        <w:bottom w:val="none" w:sz="0" w:space="0" w:color="auto"/>
        <w:right w:val="none" w:sz="0" w:space="0" w:color="auto"/>
      </w:divBdr>
      <w:divsChild>
        <w:div w:id="1873617221">
          <w:marLeft w:val="547"/>
          <w:marRight w:val="0"/>
          <w:marTop w:val="130"/>
          <w:marBottom w:val="0"/>
          <w:divBdr>
            <w:top w:val="none" w:sz="0" w:space="0" w:color="auto"/>
            <w:left w:val="none" w:sz="0" w:space="0" w:color="auto"/>
            <w:bottom w:val="none" w:sz="0" w:space="0" w:color="auto"/>
            <w:right w:val="none" w:sz="0" w:space="0" w:color="auto"/>
          </w:divBdr>
        </w:div>
        <w:div w:id="519659772">
          <w:marLeft w:val="1166"/>
          <w:marRight w:val="0"/>
          <w:marTop w:val="130"/>
          <w:marBottom w:val="0"/>
          <w:divBdr>
            <w:top w:val="none" w:sz="0" w:space="0" w:color="auto"/>
            <w:left w:val="none" w:sz="0" w:space="0" w:color="auto"/>
            <w:bottom w:val="none" w:sz="0" w:space="0" w:color="auto"/>
            <w:right w:val="none" w:sz="0" w:space="0" w:color="auto"/>
          </w:divBdr>
        </w:div>
        <w:div w:id="948243519">
          <w:marLeft w:val="1166"/>
          <w:marRight w:val="0"/>
          <w:marTop w:val="130"/>
          <w:marBottom w:val="0"/>
          <w:divBdr>
            <w:top w:val="none" w:sz="0" w:space="0" w:color="auto"/>
            <w:left w:val="none" w:sz="0" w:space="0" w:color="auto"/>
            <w:bottom w:val="none" w:sz="0" w:space="0" w:color="auto"/>
            <w:right w:val="none" w:sz="0" w:space="0" w:color="auto"/>
          </w:divBdr>
        </w:div>
        <w:div w:id="1796755446">
          <w:marLeft w:val="1166"/>
          <w:marRight w:val="0"/>
          <w:marTop w:val="130"/>
          <w:marBottom w:val="0"/>
          <w:divBdr>
            <w:top w:val="none" w:sz="0" w:space="0" w:color="auto"/>
            <w:left w:val="none" w:sz="0" w:space="0" w:color="auto"/>
            <w:bottom w:val="none" w:sz="0" w:space="0" w:color="auto"/>
            <w:right w:val="none" w:sz="0" w:space="0" w:color="auto"/>
          </w:divBdr>
        </w:div>
        <w:div w:id="571157520">
          <w:marLeft w:val="1166"/>
          <w:marRight w:val="0"/>
          <w:marTop w:val="130"/>
          <w:marBottom w:val="0"/>
          <w:divBdr>
            <w:top w:val="none" w:sz="0" w:space="0" w:color="auto"/>
            <w:left w:val="none" w:sz="0" w:space="0" w:color="auto"/>
            <w:bottom w:val="none" w:sz="0" w:space="0" w:color="auto"/>
            <w:right w:val="none" w:sz="0" w:space="0" w:color="auto"/>
          </w:divBdr>
        </w:div>
      </w:divsChild>
    </w:div>
    <w:div w:id="2058354704">
      <w:bodyDiv w:val="1"/>
      <w:marLeft w:val="0"/>
      <w:marRight w:val="0"/>
      <w:marTop w:val="0"/>
      <w:marBottom w:val="0"/>
      <w:divBdr>
        <w:top w:val="none" w:sz="0" w:space="0" w:color="auto"/>
        <w:left w:val="none" w:sz="0" w:space="0" w:color="auto"/>
        <w:bottom w:val="none" w:sz="0" w:space="0" w:color="auto"/>
        <w:right w:val="none" w:sz="0" w:space="0" w:color="auto"/>
      </w:divBdr>
      <w:divsChild>
        <w:div w:id="1468432035">
          <w:marLeft w:val="1166"/>
          <w:marRight w:val="0"/>
          <w:marTop w:val="130"/>
          <w:marBottom w:val="0"/>
          <w:divBdr>
            <w:top w:val="none" w:sz="0" w:space="0" w:color="auto"/>
            <w:left w:val="none" w:sz="0" w:space="0" w:color="auto"/>
            <w:bottom w:val="none" w:sz="0" w:space="0" w:color="auto"/>
            <w:right w:val="none" w:sz="0" w:space="0" w:color="auto"/>
          </w:divBdr>
        </w:div>
        <w:div w:id="1649897693">
          <w:marLeft w:val="1166"/>
          <w:marRight w:val="0"/>
          <w:marTop w:val="130"/>
          <w:marBottom w:val="0"/>
          <w:divBdr>
            <w:top w:val="none" w:sz="0" w:space="0" w:color="auto"/>
            <w:left w:val="none" w:sz="0" w:space="0" w:color="auto"/>
            <w:bottom w:val="none" w:sz="0" w:space="0" w:color="auto"/>
            <w:right w:val="none" w:sz="0" w:space="0" w:color="auto"/>
          </w:divBdr>
        </w:div>
        <w:div w:id="1905139854">
          <w:marLeft w:val="1166"/>
          <w:marRight w:val="0"/>
          <w:marTop w:val="13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664</TotalTime>
  <Pages>3</Pages>
  <Words>357</Words>
  <Characters>2037</Characters>
  <Application>Microsoft Office Word</Application>
  <DocSecurity>0</DocSecurity>
  <Lines>16</Lines>
  <Paragraphs>4</Paragraphs>
  <ScaleCrop>false</ScaleCrop>
  <Company/>
  <LinksUpToDate>false</LinksUpToDate>
  <CharactersWithSpaces>2390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Dear Fish ♥</dc:creator>
  <cp:lastModifiedBy>Dear Fish ♥</cp:lastModifiedBy>
  <cp:revision>4</cp:revision>
  <dcterms:created xsi:type="dcterms:W3CDTF">2016-12-18T06:24:00Z</dcterms:created>
  <dcterms:modified xsi:type="dcterms:W3CDTF">2016-12-19T04:19:00Z</dcterms:modified>
</cp:coreProperties>
</file>