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AB4" w:rsidRDefault="00255AB4"/>
    <w:p w:rsidR="00F20374" w:rsidRDefault="00F20374" w:rsidP="00F20374">
      <w:pPr>
        <w:pStyle w:val="Heading2"/>
      </w:pPr>
      <w:r>
        <w:t>SCXML semantics</w:t>
      </w:r>
    </w:p>
    <w:p w:rsidR="00F20374" w:rsidRDefault="00F20374" w:rsidP="00F20374">
      <w:r>
        <w:t>The SCXML semantics are described operationally here</w:t>
      </w:r>
      <w:proofErr w:type="gramStart"/>
      <w:r>
        <w:t>:-</w:t>
      </w:r>
      <w:proofErr w:type="gramEnd"/>
      <w:r>
        <w:t xml:space="preserve"> </w:t>
      </w:r>
    </w:p>
    <w:p w:rsidR="00F20374" w:rsidRDefault="00F20374" w:rsidP="00F20374">
      <w:r>
        <w:t xml:space="preserve">Our </w:t>
      </w:r>
      <w:r w:rsidR="00DF7A9F">
        <w:t xml:space="preserve">(abstract) </w:t>
      </w:r>
      <w:r>
        <w:t>interpretation is as follows</w:t>
      </w:r>
    </w:p>
    <w:p w:rsidR="00F20374" w:rsidRPr="00DF7A9F" w:rsidRDefault="004C6C00" w:rsidP="00DF7A9F">
      <w:pPr>
        <w:pStyle w:val="ListParagraph"/>
        <w:numPr>
          <w:ilvl w:val="0"/>
          <w:numId w:val="2"/>
        </w:numPr>
        <w:rPr>
          <w:lang w:val="en-US"/>
        </w:rPr>
      </w:pPr>
      <w:proofErr w:type="spellStart"/>
      <w:r w:rsidRPr="00DF7A9F">
        <w:rPr>
          <w:lang w:val="en-US"/>
        </w:rPr>
        <w:t>Initialise</w:t>
      </w:r>
      <w:proofErr w:type="spellEnd"/>
    </w:p>
    <w:p w:rsidR="004C6C00" w:rsidRPr="00DF7A9F" w:rsidRDefault="00F20374" w:rsidP="00DF7A9F">
      <w:pPr>
        <w:pStyle w:val="ListParagraph"/>
        <w:numPr>
          <w:ilvl w:val="0"/>
          <w:numId w:val="2"/>
        </w:numPr>
        <w:rPr>
          <w:lang w:val="en-US"/>
        </w:rPr>
      </w:pPr>
      <w:r w:rsidRPr="00DF7A9F">
        <w:rPr>
          <w:lang w:val="en-US"/>
        </w:rPr>
        <w:t xml:space="preserve">Take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rsidR="004C6C00" w:rsidRPr="00DF7A9F" w:rsidRDefault="004C6C00" w:rsidP="00DF7A9F">
      <w:pPr>
        <w:pStyle w:val="ListParagraph"/>
        <w:numPr>
          <w:ilvl w:val="0"/>
          <w:numId w:val="2"/>
        </w:numPr>
        <w:rPr>
          <w:lang w:val="en-US"/>
        </w:rPr>
      </w:pPr>
      <w:r w:rsidRPr="00DF7A9F">
        <w:rPr>
          <w:lang w:val="en-US"/>
        </w:rPr>
        <w:t>If the internal queue is not empty, repeat from 1)</w:t>
      </w:r>
    </w:p>
    <w:p w:rsidR="004C6C00" w:rsidRPr="00DF7A9F" w:rsidRDefault="004C6C00" w:rsidP="00DF7A9F">
      <w:pPr>
        <w:pStyle w:val="ListParagraph"/>
        <w:numPr>
          <w:ilvl w:val="0"/>
          <w:numId w:val="2"/>
        </w:numPr>
        <w:rPr>
          <w:lang w:val="en-US"/>
        </w:rPr>
      </w:pPr>
      <w:r w:rsidRPr="00DF7A9F">
        <w:rPr>
          <w:lang w:val="en-US"/>
        </w:rPr>
        <w:t>If</w:t>
      </w:r>
      <w:r w:rsidR="00F20374" w:rsidRPr="00DF7A9F">
        <w:rPr>
          <w:lang w:val="en-US"/>
        </w:rPr>
        <w:t xml:space="preserve"> the internal</w:t>
      </w:r>
      <w:r w:rsidRPr="00DF7A9F">
        <w:rPr>
          <w:lang w:val="en-US"/>
        </w:rPr>
        <w:t xml:space="preserve"> queue is empty, and the external queue is empty, wait for an external event to arrive.</w:t>
      </w:r>
    </w:p>
    <w:p w:rsidR="00F20374" w:rsidRPr="00DF7A9F" w:rsidRDefault="00DF7A9F" w:rsidP="00DF7A9F">
      <w:pPr>
        <w:pStyle w:val="ListParagraph"/>
        <w:numPr>
          <w:ilvl w:val="0"/>
          <w:numId w:val="2"/>
        </w:numPr>
        <w:rPr>
          <w:lang w:val="en-US"/>
        </w:rPr>
      </w:pPr>
      <w:r w:rsidRPr="00DF7A9F">
        <w:rPr>
          <w:lang w:val="en-US"/>
        </w:rPr>
        <w:t xml:space="preserve">If the external queue is not empty, </w:t>
      </w:r>
      <w:r w:rsidR="004C6C00" w:rsidRPr="00DF7A9F">
        <w:rPr>
          <w:lang w:val="en-US"/>
        </w:rPr>
        <w:t>take one event from the external queue and fire the set of transitions that are enabled by it at that time. Again they must be enabled at the time it checks, not subsequently after firing one or more of the set of transitions.</w:t>
      </w:r>
    </w:p>
    <w:p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rsidR="00DF7A9F" w:rsidRDefault="00DF7A9F" w:rsidP="00DF7A9F"/>
    <w:p w:rsidR="00DF7A9F" w:rsidRDefault="00DF7A9F" w:rsidP="00DF7A9F">
      <w:r>
        <w:t>There are some issues with this interpretation</w:t>
      </w:r>
    </w:p>
    <w:p w:rsidR="00DF7A9F" w:rsidRDefault="00DF7A9F" w:rsidP="00DF7A9F">
      <w:pPr>
        <w:pStyle w:val="ListParagraph"/>
        <w:numPr>
          <w:ilvl w:val="0"/>
          <w:numId w:val="3"/>
        </w:numPr>
      </w:pPr>
      <w:r>
        <w:t>The system cannot start because initially the internal queue will be empty.</w:t>
      </w:r>
    </w:p>
    <w:p w:rsidR="00DF7A9F" w:rsidRDefault="00DF7A9F" w:rsidP="00DF7A9F">
      <w:pPr>
        <w:pStyle w:val="ListParagraph"/>
        <w:numPr>
          <w:ilvl w:val="0"/>
          <w:numId w:val="3"/>
        </w:numPr>
      </w:pPr>
      <w:r>
        <w:t>The system cannot progress through a sequence of un-triggered transitions unless irrelevant external/internal triggers arrive. Therefore it is invalid to have more than one un-triggered transition without a triggered one in between.</w:t>
      </w:r>
    </w:p>
    <w:p w:rsidR="00DF7A9F" w:rsidRDefault="00DF7A9F" w:rsidP="00DF7A9F">
      <w:pPr>
        <w:pStyle w:val="ListParagraph"/>
        <w:numPr>
          <w:ilvl w:val="0"/>
          <w:numId w:val="3"/>
        </w:numPr>
      </w:pPr>
      <w:r>
        <w:t>Irrelevant triggers make the system progress through un-triggered transitions.</w:t>
      </w:r>
    </w:p>
    <w:p w:rsidR="00644AD3" w:rsidRDefault="00F20374" w:rsidP="00F20374">
      <w:pPr>
        <w:pStyle w:val="Heading2"/>
      </w:pPr>
      <w:r>
        <w:t>SCXML engine</w:t>
      </w:r>
    </w:p>
    <w:p w:rsidR="00F20374" w:rsidRDefault="00F20374" w:rsidP="00F20374">
      <w:r>
        <w:rPr>
          <w:noProof/>
          <w:lang w:val="en-US"/>
        </w:rPr>
        <w:drawing>
          <wp:anchor distT="0" distB="0" distL="114300" distR="114300" simplePos="0" relativeHeight="251658240" behindDoc="0" locked="0" layoutInCell="1" allowOverlap="1" wp14:anchorId="181BE468" wp14:editId="011625A7">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rsidR="00F20374" w:rsidRDefault="00F20374" w:rsidP="00F20374">
      <w:r>
        <w:t xml:space="preserve">Initially the </w:t>
      </w:r>
      <w:r w:rsidR="0018420F">
        <w:t xml:space="preserve">engine waits for triggers. When a trigger is present, internal triggers have precedence over external ones. 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w:t>
      </w:r>
      <w:r w:rsidR="0018420F">
        <w:lastRenderedPageBreak/>
        <w:t xml:space="preserve">SCXML transition. The engine then waits for all the transitions it enabled to fire. The transitions set new state and data as well as resetting their enabled flag. </w:t>
      </w:r>
      <w:r w:rsidR="00D550F2">
        <w:t>They may also raise new internal triggers by adding them to the internal queue.</w:t>
      </w:r>
    </w:p>
    <w:p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p>
    <w:p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rsidR="00D550F2" w:rsidRDefault="00D550F2" w:rsidP="00D550F2">
      <w:pPr>
        <w:pStyle w:val="Heading2"/>
      </w:pPr>
      <w:r>
        <w:t>Future Triggers</w:t>
      </w:r>
    </w:p>
    <w:p w:rsidR="00D550F2" w:rsidRDefault="00D6005F">
      <w:bookmarkStart w:id="0" w:name="_GoBack"/>
      <w:r w:rsidRPr="00D6005F">
        <w:drawing>
          <wp:anchor distT="0" distB="0" distL="114300" distR="114300" simplePos="0" relativeHeight="251659264" behindDoc="0" locked="0" layoutInCell="1" allowOverlap="1" wp14:anchorId="0E2FA1C5" wp14:editId="545DC7B9">
            <wp:simplePos x="0" y="0"/>
            <wp:positionH relativeFrom="column">
              <wp:posOffset>0</wp:posOffset>
            </wp:positionH>
            <wp:positionV relativeFrom="paragraph">
              <wp:posOffset>613410</wp:posOffset>
            </wp:positionV>
            <wp:extent cx="3823970" cy="1257300"/>
            <wp:effectExtent l="0" t="0" r="11430" b="12700"/>
            <wp:wrapTight wrapText="bothSides">
              <wp:wrapPolygon edited="0">
                <wp:start x="0" y="0"/>
                <wp:lineTo x="0" y="21382"/>
                <wp:lineTo x="21521" y="21382"/>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970" cy="1257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550F2">
        <w:t>The basis also provides a mechanism for introducing new triggers. Since these triggers require changes to the trigger queues</w:t>
      </w:r>
      <w:r>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 are provided for them to 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rsidR="00D6005F" w:rsidRDefault="00D6005F" w:rsidP="00DE0DEC">
      <w:pPr>
        <w:pStyle w:val="Heading2"/>
      </w:pPr>
      <w:r>
        <w:rPr>
          <w:noProof/>
          <w:lang w:val="en-US"/>
        </w:rPr>
        <w:drawing>
          <wp:inline distT="0" distB="0" distL="0" distR="0">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rsidR="00D6005F" w:rsidRDefault="00D6005F" w:rsidP="00D6005F">
      <w:r>
        <w:t>New triggers are introduced by partitioning this set, leaving a residual for further future triggers</w:t>
      </w:r>
    </w:p>
    <w:p w:rsidR="00D6005F" w:rsidRPr="00D6005F" w:rsidRDefault="00D6005F" w:rsidP="00D6005F">
      <w:r>
        <w:rPr>
          <w:noProof/>
          <w:lang w:val="en-US"/>
        </w:rPr>
        <w:drawing>
          <wp:inline distT="0" distB="0" distL="0" distR="0">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p>
    <w:p w:rsidR="00D6005F" w:rsidRDefault="00D6005F" w:rsidP="00DE0DEC">
      <w:pPr>
        <w:pStyle w:val="Heading2"/>
      </w:pPr>
      <w:r>
        <w:t>Refinement of triggers</w:t>
      </w:r>
    </w:p>
    <w:p w:rsidR="00D6005F" w:rsidRPr="00D6005F"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of their consumption and hence the trace of events which is the definition of refinement. I.e. it is inherently not a refinement to replace an external trigger with an internal trigger. However, an internal trigger can be fired non-deterministically by an un-triggered and unguarded transition</w:t>
      </w:r>
      <w:r w:rsidR="000F75AC">
        <w:t>. This means that it would be available to fire at any time to enter the event in the queue and later constrained to a specific transition but that the processing of it by the engine would be consistent in future refinements.</w:t>
      </w:r>
    </w:p>
    <w:p w:rsidR="00DE0DEC" w:rsidRDefault="00DE0DEC" w:rsidP="00DE0DEC">
      <w:pPr>
        <w:pStyle w:val="Heading2"/>
      </w:pPr>
      <w:r>
        <w:t>Proof that transitions satisfy invariants</w:t>
      </w:r>
    </w:p>
    <w:p w:rsidR="00644AD3" w:rsidRDefault="00DE0DEC">
      <w:r>
        <w:t xml:space="preserve"> Re</w:t>
      </w:r>
      <w:r w:rsidR="00644AD3">
        <w:t xml:space="preserve">moving the guards </w:t>
      </w:r>
      <w:r>
        <w:t>to the SCXML engine means that</w:t>
      </w:r>
      <w:r w:rsidR="00644AD3">
        <w:t xml:space="preserve"> it </w:t>
      </w:r>
      <w:r>
        <w:t>is less obvious that transitions satisfy</w:t>
      </w:r>
      <w:r w:rsidR="00644AD3">
        <w:t xml:space="preserve"> invariants. </w:t>
      </w:r>
    </w:p>
    <w:p w:rsidR="00644AD3" w:rsidRDefault="00DE0DEC">
      <w:r>
        <w:t xml:space="preserve">For example, the transition </w:t>
      </w:r>
      <w:proofErr w:type="spellStart"/>
      <w:r>
        <w:t>sendByte</w:t>
      </w:r>
      <w:proofErr w:type="spellEnd"/>
      <w:r>
        <w:t xml:space="preserve"> is enabled by the engine when bytes&gt;0. </w:t>
      </w:r>
      <w:proofErr w:type="gramStart"/>
      <w:r>
        <w:t>and</w:t>
      </w:r>
      <w:proofErr w:type="gramEnd"/>
      <w:r>
        <w:t xml:space="preserve"> bytes is not decreased elsewhere. However, the </w:t>
      </w:r>
      <w:proofErr w:type="spellStart"/>
      <w:r>
        <w:t>prover</w:t>
      </w:r>
      <w:proofErr w:type="spellEnd"/>
      <w:r>
        <w:t xml:space="preserve"> cannot initially discharge the PO concerning the range of bytes.</w:t>
      </w:r>
    </w:p>
    <w:p w:rsidR="00644AD3" w:rsidRDefault="00644AD3"/>
    <w:p w:rsidR="00644AD3" w:rsidRDefault="00644AD3">
      <w:r>
        <w:rPr>
          <w:noProof/>
          <w:lang w:val="en-US"/>
        </w:rPr>
        <w:drawing>
          <wp:inline distT="0" distB="0" distL="0" distR="0">
            <wp:extent cx="5270500" cy="26044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04449"/>
                    </a:xfrm>
                    <a:prstGeom prst="rect">
                      <a:avLst/>
                    </a:prstGeom>
                    <a:noFill/>
                    <a:ln>
                      <a:noFill/>
                    </a:ln>
                  </pic:spPr>
                </pic:pic>
              </a:graphicData>
            </a:graphic>
          </wp:inline>
        </w:drawing>
      </w:r>
    </w:p>
    <w:p w:rsidR="00D6005F" w:rsidRDefault="00D6005F"/>
    <w:p w:rsidR="00DE0DEC" w:rsidRDefault="00DE0DEC">
      <w:r>
        <w:t xml:space="preserve">Adding </w:t>
      </w:r>
      <w:r w:rsidR="00D6005F">
        <w:t>an</w:t>
      </w:r>
      <w:r>
        <w:t xml:space="preserve"> invariant as follows allows automatic proof.</w:t>
      </w:r>
    </w:p>
    <w:p w:rsidR="00DE0DEC" w:rsidRDefault="00DE0DEC" w:rsidP="00DE0DEC">
      <w:r w:rsidRPr="00DE0DEC">
        <w:tab/>
      </w:r>
      <w:r w:rsidRPr="00DE0DEC">
        <w:rPr>
          <w:rFonts w:ascii="System Font" w:hAnsi="System Font" w:cs="System Font"/>
        </w:rPr>
        <w:t>⚬</w:t>
      </w:r>
      <w:r w:rsidRPr="00DE0DEC">
        <w:tab/>
        <w:t>inv6:</w:t>
      </w:r>
      <w:r w:rsidRPr="00DE0DEC">
        <w:tab/>
      </w:r>
      <w:proofErr w:type="spellStart"/>
      <w:r w:rsidRPr="00DE0DEC">
        <w:t>SCXML_sendByte_enabled</w:t>
      </w:r>
      <w:proofErr w:type="spellEnd"/>
      <w:r w:rsidRPr="00DE0DEC">
        <w:t xml:space="preserve"> = TRUE </w:t>
      </w:r>
      <w:r w:rsidRPr="00DE0DEC">
        <w:rPr>
          <w:rFonts w:hint="eastAsia"/>
        </w:rPr>
        <w:t>⇒</w:t>
      </w:r>
      <w:r>
        <w:t xml:space="preserve"> bytes &gt; 0 not theorem </w:t>
      </w:r>
    </w:p>
    <w:p w:rsidR="00DE0DEC" w:rsidRDefault="00DE0DEC" w:rsidP="00DE0DEC">
      <w:r>
        <w:t>If another transition decremented bytes, it would not satisfy this invariant.</w:t>
      </w:r>
    </w:p>
    <w:p w:rsidR="00DE0DEC" w:rsidRDefault="00DE0DEC" w:rsidP="00DE0DEC"/>
    <w:p w:rsidR="00DE0DEC" w:rsidRPr="00DE0DEC" w:rsidRDefault="00DE0DEC" w:rsidP="00DE0DEC"/>
    <w:p w:rsidR="00DE0DEC" w:rsidRDefault="00DE0DEC"/>
    <w:sectPr w:rsidR="00DE0DEC"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stem Font">
    <w:panose1 w:val="00000500000000000000"/>
    <w:charset w:val="00"/>
    <w:family w:val="auto"/>
    <w:pitch w:val="variable"/>
    <w:sig w:usb0="2000028F" w:usb1="0200000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67A53"/>
    <w:multiLevelType w:val="hybridMultilevel"/>
    <w:tmpl w:val="F35A50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F75AC"/>
    <w:rsid w:val="0018420F"/>
    <w:rsid w:val="00255AB4"/>
    <w:rsid w:val="004C6C00"/>
    <w:rsid w:val="00624673"/>
    <w:rsid w:val="00644AD3"/>
    <w:rsid w:val="00725658"/>
    <w:rsid w:val="00D550F2"/>
    <w:rsid w:val="00D6005F"/>
    <w:rsid w:val="00DE0DEC"/>
    <w:rsid w:val="00DF7A9F"/>
    <w:rsid w:val="00F20374"/>
    <w:rsid w:val="00F33A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25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746</Words>
  <Characters>4255</Characters>
  <Application>Microsoft Macintosh Word</Application>
  <DocSecurity>0</DocSecurity>
  <Lines>35</Lines>
  <Paragraphs>9</Paragraphs>
  <ScaleCrop>false</ScaleCrop>
  <Company>University of Southampton</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cp:revision>
  <dcterms:created xsi:type="dcterms:W3CDTF">2016-12-15T16:37:00Z</dcterms:created>
  <dcterms:modified xsi:type="dcterms:W3CDTF">2016-12-15T18:27:00Z</dcterms:modified>
</cp:coreProperties>
</file>