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0" w:line="276" w:lineRule="auto"/>
        <w:jc w:val="center"/>
        <w:rPr>
          <w:rFonts w:ascii="Arial" w:cs="Arial" w:eastAsia="Arial" w:hAnsi="Arial"/>
          <w:b w:val="1"/>
          <w:bCs w:val="1"/>
          <w:color w:val="000000"/>
          <w:sz w:val="46"/>
          <w:szCs w:val="46"/>
        </w:rPr>
      </w:pPr>
      <w:bookmarkStart w:colFirst="0" w:colLast="0" w:name="_heading=h.mv72drh227dy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Costos Para el Proyecto Nay Eventos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0" w:line="276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4g0zcuixvo3o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Estructura de Costos del Proyecto: Tienda Virtual y Control de Inventario: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n4fkpzkk0ag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1. Costos de Personal (Nómina por Trimestre)</w:t>
      </w:r>
    </w:p>
    <w:p w:rsidR="00000000" w:rsidDel="00000000" w:rsidP="00000000" w:rsidRDefault="00000000" w:rsidRPr="00000000" w14:paraId="00000004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Según el esquema optimizado para cumplir con el presupuesto comercial del cliente, el equipo consta de 5 personas bajo una distribución anual por trimestres. El costo estimado de personal por cada etapa se calcula de la siguiente manera:</w:t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2655"/>
        <w:gridCol w:w="2880"/>
        <w:tblGridChange w:id="0">
          <w:tblGrid>
            <w:gridCol w:w="3240"/>
            <w:gridCol w:w="2655"/>
            <w:gridCol w:w="288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Fase / Trimestre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Personal 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Costo Estimado Personal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T1: Requerimientos y Análisis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personas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$15,750,000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T2: Diseño y Arquitectura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personas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$15,750,000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T3: Desarrollo (MVP)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personas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$15,750,000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T4: Pruebas e Implementación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personas (Enfoque QA)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$15,750,000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TOTAL PERSONAL (1 AÑO)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$63,000,000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2mlgcjxw7cbv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2. Análisis de Riesgos y Margen de Ganancia</w:t>
      </w:r>
    </w:p>
    <w:p w:rsidR="00000000" w:rsidDel="00000000" w:rsidP="00000000" w:rsidRDefault="00000000" w:rsidRPr="00000000" w14:paraId="00000018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proteger el proyecto ante imprevistos, solicitudes de cambio en el alcance del inventario o contingencias operativas (como incapacidades del personal técnico), el valor total presentado en la tabla anterior ya integra las variables financieras de la propuesta comercial: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Costo Base Operativo de Fabricación: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$42,000,000.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Margen de Ganancia / Riesgo (50%):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añade un 50% ($21,000,000) sobre el costo de fabricación para blindar la operación contra riesgos y garantizar la rentabilidad de la empresa desarrolladora.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Valor de venta final cobrado al cliente: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$63,000,000</w:t>
      </w:r>
      <w:r w:rsidDel="00000000" w:rsidR="00000000" w:rsidRPr="00000000">
        <w:rPr>
          <w:rFonts w:ascii="Arial" w:cs="Arial" w:eastAsia="Arial" w:hAnsi="Arial"/>
          <w:rtl w:val="0"/>
        </w:rPr>
        <w:t xml:space="preserve"> (distribuido en cuotas iguales de $15,750,000 por trimestre).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before="0" w:line="276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</w:rPr>
      </w:pPr>
      <w:bookmarkStart w:colFirst="0" w:colLast="0" w:name="_heading=h.h3grrpcquioi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Estrategia de Descuento (Mitigación):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Se puede negociar un margen del 5% de descuento con el cliente si la entrega de los módulos de inventario y pasarela de pago se cumple estrictamente bajo los hitos del cronograma.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Si el desarrollo fluye sin modificaciones fuera del alcance o retrasos por imprevistos, ese porcentaje reservado se consolida como utilidad neta del equipo.</w:t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099xYzQO6XduaV3t2xqeTl+B2Q==">CgMxLjAyDmgubXY3MmRyaDIyN2R5Mg5oLjRnMHpjdWl4dm8zbzINaC5uNGZrcHprazBhZzIOaC4ybWxnY2p4dzdjYnYyDmguaDNncnJwY3F1aW9pOAByITF2NS1VMGRVdzdZeE52dXFDNy1QV2lLbGU4d3hWOURHYw==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