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GESTION DES CONFLITS D'INTÉRÊTS</w:t>
            </w:r>
          </w:p>
          <w:p>
            <w:pPr>
              <w:spacing w:after="0"/>
              <w:jc w:val="center"/>
            </w:pPr>
            <w:r>
              <w:rPr>
                <w:rFonts w:ascii="Calibri" w:cs="Calibri" w:eastAsia="Calibri" w:hAnsi="Calibri"/>
                <w:i/>
                <w:iCs/>
                <w:color w:val="1F4E79"/>
                <w:sz w:val="18"/>
                <w:szCs w:val="18"/>
              </w:rPr>
              <w:t xml:space="preserve">Prévention et traitement des situations à risque éthique chez Eventy Life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les règles applicables au sein d'EVENTY LIFE SAS en matière de prévention, de déclaration et de traitement des conflits d'intérêts. Elle vise à garantir l'objectivité des décisions, l'équité de traitement entre voyageurs et partenaires, et la confiance des parties prenantes.</w:t>
      </w:r>
    </w:p>
    <w:p>
      <w:pPr>
        <w:spacing w:after="100" w:line="280"/>
        <w:jc w:val="both"/>
      </w:pPr>
      <w:r>
        <w:rPr>
          <w:rFonts w:ascii="Calibri" w:cs="Calibri" w:eastAsia="Calibri" w:hAnsi="Calibri"/>
          <w:i/>
          <w:iCs/>
          <w:color w:val="1A1A1A"/>
          <w:sz w:val="20"/>
          <w:szCs w:val="20"/>
        </w:rPr>
        <w:t xml:space="preserve">Cette politique s'inscrit en cohérence avec les autres engagements éthiques d'Eventy : politique anti-corruption (esprit Sapin 2), procédure de signalement (loi Waserman), politique RSE (pilier gouvernance), code de conduite ambassadeurs.</w:t>
      </w:r>
    </w:p>
    <w:p>
      <w:pPr>
        <w:spacing w:after="160" w:before="240"/>
      </w:pPr>
      <w:r>
        <w:rPr>
          <w:rFonts w:ascii="Calibri" w:cs="Calibri" w:eastAsia="Calibri" w:hAnsi="Calibri"/>
          <w:b/>
          <w:bCs/>
          <w:color w:val="1F4E79"/>
          <w:sz w:val="32"/>
          <w:szCs w:val="32"/>
        </w:rPr>
        <w:t xml:space="preserve">1. Définitions</w:t>
      </w:r>
    </w:p>
    <w:p>
      <w:pPr>
        <w:spacing w:after="100" w:before="220"/>
      </w:pPr>
      <w:r>
        <w:rPr>
          <w:rFonts w:ascii="Calibri" w:cs="Calibri" w:eastAsia="Calibri" w:hAnsi="Calibri"/>
          <w:b/>
          <w:bCs/>
          <w:color w:val="E87722"/>
          <w:sz w:val="22"/>
          <w:szCs w:val="22"/>
        </w:rPr>
        <w:t xml:space="preserve">1.1. Conflit d'intérêts</w:t>
      </w:r>
    </w:p>
    <w:p>
      <w:pPr>
        <w:spacing w:after="100" w:line="280"/>
        <w:jc w:val="both"/>
      </w:pPr>
      <w:r>
        <w:rPr>
          <w:rFonts w:ascii="Calibri" w:cs="Calibri" w:eastAsia="Calibri" w:hAnsi="Calibri"/>
          <w:color w:val="1A1A1A"/>
          <w:sz w:val="20"/>
          <w:szCs w:val="20"/>
        </w:rPr>
        <w:t xml:space="preserve">Un conflit d'intérêts existe lorsqu'une personne intervenant pour Eventy (collaborateur, partenaire, créateur, vendeur, ambassadeur, dirigeant) se trouve dans une situation où ses intérêts personnels, financiers, familiaux ou professionnels sont susceptibles d'influencer ou peuvent paraître influencer ses décisions ou actions au nom d'Eventy.</w:t>
      </w:r>
    </w:p>
    <w:p>
      <w:pPr>
        <w:spacing w:after="100" w:before="220"/>
      </w:pPr>
      <w:r>
        <w:rPr>
          <w:rFonts w:ascii="Calibri" w:cs="Calibri" w:eastAsia="Calibri" w:hAnsi="Calibri"/>
          <w:b/>
          <w:bCs/>
          <w:color w:val="E87722"/>
          <w:sz w:val="22"/>
          <w:szCs w:val="22"/>
        </w:rPr>
        <w:t xml:space="preserve">1.2. Trois formes principales</w:t>
      </w:r>
    </w:p>
    <w:p>
      <w:pPr>
        <w:pStyle w:val="ListParagraph"/>
        <w:numPr>
          <w:ilvl w:val="0"/>
          <w:numId w:val="2"/>
        </w:numPr>
        <w:spacing w:after="60" w:line="260"/>
      </w:pPr>
      <w:r>
        <w:rPr>
          <w:rFonts w:ascii="Calibri" w:cs="Calibri" w:eastAsia="Calibri" w:hAnsi="Calibri"/>
          <w:sz w:val="20"/>
          <w:szCs w:val="20"/>
        </w:rPr>
        <w:t xml:space="preserve">Conflit réel — la personne se trouve effectivement dans une situation où ses intérêts entrent en conflit avec ceux d'Eventy.</w:t>
      </w:r>
    </w:p>
    <w:p>
      <w:pPr>
        <w:pStyle w:val="ListParagraph"/>
        <w:numPr>
          <w:ilvl w:val="0"/>
          <w:numId w:val="2"/>
        </w:numPr>
        <w:spacing w:after="60" w:line="260"/>
      </w:pPr>
      <w:r>
        <w:rPr>
          <w:rFonts w:ascii="Calibri" w:cs="Calibri" w:eastAsia="Calibri" w:hAnsi="Calibri"/>
          <w:sz w:val="20"/>
          <w:szCs w:val="20"/>
        </w:rPr>
        <w:t xml:space="preserve">Conflit apparent — la situation, sans être avérée, peut raisonnablement laisser penser à un tiers que les intérêts entrent en conflit.</w:t>
      </w:r>
    </w:p>
    <w:p>
      <w:pPr>
        <w:pStyle w:val="ListParagraph"/>
        <w:numPr>
          <w:ilvl w:val="0"/>
          <w:numId w:val="2"/>
        </w:numPr>
        <w:spacing w:after="60" w:line="260"/>
      </w:pPr>
      <w:r>
        <w:rPr>
          <w:rFonts w:ascii="Calibri" w:cs="Calibri" w:eastAsia="Calibri" w:hAnsi="Calibri"/>
          <w:sz w:val="20"/>
          <w:szCs w:val="20"/>
        </w:rPr>
        <w:t xml:space="preserve">Conflit potentiel — la situation pourrait évoluer vers un conflit réel.</w:t>
      </w:r>
    </w:p>
    <w:p>
      <w:pPr>
        <w:spacing w:after="160" w:before="240"/>
      </w:pPr>
      <w:r>
        <w:rPr>
          <w:rFonts w:ascii="Calibri" w:cs="Calibri" w:eastAsia="Calibri" w:hAnsi="Calibri"/>
          <w:b/>
          <w:bCs/>
          <w:color w:val="1F4E79"/>
          <w:sz w:val="32"/>
          <w:szCs w:val="32"/>
        </w:rPr>
        <w:t xml:space="preserve">2. Champ d'application</w:t>
      </w:r>
    </w:p>
    <w:p>
      <w:pPr>
        <w:pStyle w:val="ListParagraph"/>
        <w:numPr>
          <w:ilvl w:val="0"/>
          <w:numId w:val="2"/>
        </w:numPr>
        <w:spacing w:after="60" w:line="260"/>
      </w:pPr>
      <w:r>
        <w:rPr>
          <w:rFonts w:ascii="Calibri" w:cs="Calibri" w:eastAsia="Calibri" w:hAnsi="Calibri"/>
          <w:sz w:val="20"/>
          <w:szCs w:val="20"/>
        </w:rPr>
        <w:t xml:space="preserve">Le Président David Eventy.</w:t>
      </w:r>
    </w:p>
    <w:p>
      <w:pPr>
        <w:pStyle w:val="ListParagraph"/>
        <w:numPr>
          <w:ilvl w:val="0"/>
          <w:numId w:val="2"/>
        </w:numPr>
        <w:spacing w:after="60" w:line="260"/>
      </w:pPr>
      <w:r>
        <w:rPr>
          <w:rFonts w:ascii="Calibri" w:cs="Calibri" w:eastAsia="Calibri" w:hAnsi="Calibri"/>
          <w:sz w:val="20"/>
          <w:szCs w:val="20"/>
        </w:rPr>
        <w:t xml:space="preserve">Les éventuels autres dirigeants et associés.</w:t>
      </w:r>
    </w:p>
    <w:p>
      <w:pPr>
        <w:pStyle w:val="ListParagraph"/>
        <w:numPr>
          <w:ilvl w:val="0"/>
          <w:numId w:val="2"/>
        </w:numPr>
        <w:spacing w:after="60" w:line="260"/>
      </w:pPr>
      <w:r>
        <w:rPr>
          <w:rFonts w:ascii="Calibri" w:cs="Calibri" w:eastAsia="Calibri" w:hAnsi="Calibri"/>
          <w:sz w:val="20"/>
          <w:szCs w:val="20"/>
        </w:rPr>
        <w:t xml:space="preserve">Les collaborateurs salariés et non salariés.</w:t>
      </w:r>
    </w:p>
    <w:p>
      <w:pPr>
        <w:pStyle w:val="ListParagraph"/>
        <w:numPr>
          <w:ilvl w:val="0"/>
          <w:numId w:val="2"/>
        </w:numPr>
        <w:spacing w:after="60" w:line="260"/>
      </w:pPr>
      <w:r>
        <w:rPr>
          <w:rFonts w:ascii="Calibri" w:cs="Calibri" w:eastAsia="Calibri" w:hAnsi="Calibri"/>
          <w:sz w:val="20"/>
          <w:szCs w:val="20"/>
        </w:rPr>
        <w:t xml:space="preserve">Les partenaires créateurs, vendeurs, ambassadeurs (à signature contrat).</w:t>
      </w:r>
    </w:p>
    <w:p>
      <w:pPr>
        <w:pStyle w:val="ListParagraph"/>
        <w:numPr>
          <w:ilvl w:val="0"/>
          <w:numId w:val="2"/>
        </w:numPr>
        <w:spacing w:after="60" w:line="260"/>
      </w:pPr>
      <w:r>
        <w:rPr>
          <w:rFonts w:ascii="Calibri" w:cs="Calibri" w:eastAsia="Calibri" w:hAnsi="Calibri"/>
          <w:sz w:val="20"/>
          <w:szCs w:val="20"/>
        </w:rPr>
        <w:t xml:space="preserve">Les partenaires HRA et transporteurs.</w:t>
      </w:r>
    </w:p>
    <w:p>
      <w:pPr>
        <w:pStyle w:val="ListParagraph"/>
        <w:numPr>
          <w:ilvl w:val="0"/>
          <w:numId w:val="2"/>
        </w:numPr>
        <w:spacing w:after="60" w:line="260"/>
      </w:pPr>
      <w:r>
        <w:rPr>
          <w:rFonts w:ascii="Calibri" w:cs="Calibri" w:eastAsia="Calibri" w:hAnsi="Calibri"/>
          <w:sz w:val="20"/>
          <w:szCs w:val="20"/>
        </w:rPr>
        <w:t xml:space="preserve">Les conseils externes (avocat, expert-comptable, DPO, agence marketing).</w:t>
      </w:r>
    </w:p>
    <w:p>
      <w:pPr>
        <w:spacing w:after="160" w:before="240"/>
      </w:pPr>
      <w:r>
        <w:rPr>
          <w:rFonts w:ascii="Calibri" w:cs="Calibri" w:eastAsia="Calibri" w:hAnsi="Calibri"/>
          <w:b/>
          <w:bCs/>
          <w:color w:val="1F4E79"/>
          <w:sz w:val="32"/>
          <w:szCs w:val="32"/>
        </w:rPr>
        <w:t xml:space="preserve">3. Situations typiques de conflit d'intérêts</w:t>
      </w:r>
    </w:p>
    <w:p>
      <w:pPr>
        <w:spacing w:after="100" w:before="220"/>
      </w:pPr>
      <w:r>
        <w:rPr>
          <w:rFonts w:ascii="Calibri" w:cs="Calibri" w:eastAsia="Calibri" w:hAnsi="Calibri"/>
          <w:b/>
          <w:bCs/>
          <w:color w:val="E87722"/>
          <w:sz w:val="22"/>
          <w:szCs w:val="22"/>
        </w:rPr>
        <w:t xml:space="preserve">3.1. Conflits liés à des intérêts financiers</w:t>
      </w:r>
    </w:p>
    <w:p>
      <w:pPr>
        <w:pStyle w:val="ListParagraph"/>
        <w:numPr>
          <w:ilvl w:val="0"/>
          <w:numId w:val="2"/>
        </w:numPr>
        <w:spacing w:after="60" w:line="260"/>
      </w:pPr>
      <w:r>
        <w:rPr>
          <w:rFonts w:ascii="Calibri" w:cs="Calibri" w:eastAsia="Calibri" w:hAnsi="Calibri"/>
          <w:sz w:val="20"/>
          <w:szCs w:val="20"/>
        </w:rPr>
        <w:t xml:space="preserve">Détention d'une participation significative dans une société partenaire (HRA, transporteur, prestataire technique).</w:t>
      </w:r>
    </w:p>
    <w:p>
      <w:pPr>
        <w:pStyle w:val="ListParagraph"/>
        <w:numPr>
          <w:ilvl w:val="0"/>
          <w:numId w:val="2"/>
        </w:numPr>
        <w:spacing w:after="60" w:line="260"/>
      </w:pPr>
      <w:r>
        <w:rPr>
          <w:rFonts w:ascii="Calibri" w:cs="Calibri" w:eastAsia="Calibri" w:hAnsi="Calibri"/>
          <w:sz w:val="20"/>
          <w:szCs w:val="20"/>
        </w:rPr>
        <w:t xml:space="preserve">Bénéfice direct ou indirect d'un avantage commercial offert à Eventy par un partenaire.</w:t>
      </w:r>
    </w:p>
    <w:p>
      <w:pPr>
        <w:pStyle w:val="ListParagraph"/>
        <w:numPr>
          <w:ilvl w:val="0"/>
          <w:numId w:val="2"/>
        </w:numPr>
        <w:spacing w:after="60" w:line="260"/>
      </w:pPr>
      <w:r>
        <w:rPr>
          <w:rFonts w:ascii="Calibri" w:cs="Calibri" w:eastAsia="Calibri" w:hAnsi="Calibri"/>
          <w:sz w:val="20"/>
          <w:szCs w:val="20"/>
        </w:rPr>
        <w:t xml:space="preserve">Activité concurrente exercée en parallèle (autre opérateur de voyages, marketplace concurrente).</w:t>
      </w:r>
    </w:p>
    <w:p>
      <w:pPr>
        <w:pStyle w:val="ListParagraph"/>
        <w:numPr>
          <w:ilvl w:val="0"/>
          <w:numId w:val="2"/>
        </w:numPr>
        <w:spacing w:after="60" w:line="260"/>
      </w:pPr>
      <w:r>
        <w:rPr>
          <w:rFonts w:ascii="Calibri" w:cs="Calibri" w:eastAsia="Calibri" w:hAnsi="Calibri"/>
          <w:sz w:val="20"/>
          <w:szCs w:val="20"/>
        </w:rPr>
        <w:t xml:space="preserve">Honoraires perçus d'un tiers en lien avec une décision Eventy.</w:t>
      </w:r>
    </w:p>
    <w:p>
      <w:pPr>
        <w:spacing w:after="100" w:before="220"/>
      </w:pPr>
      <w:r>
        <w:rPr>
          <w:rFonts w:ascii="Calibri" w:cs="Calibri" w:eastAsia="Calibri" w:hAnsi="Calibri"/>
          <w:b/>
          <w:bCs/>
          <w:color w:val="E87722"/>
          <w:sz w:val="22"/>
          <w:szCs w:val="22"/>
        </w:rPr>
        <w:t xml:space="preserve">3.2. Conflits liés à des relations personnelles</w:t>
      </w:r>
    </w:p>
    <w:p>
      <w:pPr>
        <w:pStyle w:val="ListParagraph"/>
        <w:numPr>
          <w:ilvl w:val="0"/>
          <w:numId w:val="2"/>
        </w:numPr>
        <w:spacing w:after="60" w:line="260"/>
      </w:pPr>
      <w:r>
        <w:rPr>
          <w:rFonts w:ascii="Calibri" w:cs="Calibri" w:eastAsia="Calibri" w:hAnsi="Calibri"/>
          <w:sz w:val="20"/>
          <w:szCs w:val="20"/>
        </w:rPr>
        <w:t xml:space="preserve">Lien familial avec un partenaire, prestataire ou candidat collaborateur.</w:t>
      </w:r>
    </w:p>
    <w:p>
      <w:pPr>
        <w:pStyle w:val="ListParagraph"/>
        <w:numPr>
          <w:ilvl w:val="0"/>
          <w:numId w:val="2"/>
        </w:numPr>
        <w:spacing w:after="60" w:line="260"/>
      </w:pPr>
      <w:r>
        <w:rPr>
          <w:rFonts w:ascii="Calibri" w:cs="Calibri" w:eastAsia="Calibri" w:hAnsi="Calibri"/>
          <w:sz w:val="20"/>
          <w:szCs w:val="20"/>
        </w:rPr>
        <w:t xml:space="preserve">Relation amicale étroite avec un fournisseur en cours de négociation.</w:t>
      </w:r>
    </w:p>
    <w:p>
      <w:pPr>
        <w:pStyle w:val="ListParagraph"/>
        <w:numPr>
          <w:ilvl w:val="0"/>
          <w:numId w:val="2"/>
        </w:numPr>
        <w:spacing w:after="60" w:line="260"/>
      </w:pPr>
      <w:r>
        <w:rPr>
          <w:rFonts w:ascii="Calibri" w:cs="Calibri" w:eastAsia="Calibri" w:hAnsi="Calibri"/>
          <w:sz w:val="20"/>
          <w:szCs w:val="20"/>
        </w:rPr>
        <w:t xml:space="preserve">Relation amoureuse avec un collaborateur subordonné, un partenaire ou un voyageur.</w:t>
      </w:r>
    </w:p>
    <w:p>
      <w:pPr>
        <w:spacing w:after="100" w:before="220"/>
      </w:pPr>
      <w:r>
        <w:rPr>
          <w:rFonts w:ascii="Calibri" w:cs="Calibri" w:eastAsia="Calibri" w:hAnsi="Calibri"/>
          <w:b/>
          <w:bCs/>
          <w:color w:val="E87722"/>
          <w:sz w:val="22"/>
          <w:szCs w:val="22"/>
        </w:rPr>
        <w:t xml:space="preserve">3.3. Conflits liés à des engagements externes</w:t>
      </w:r>
    </w:p>
    <w:p>
      <w:pPr>
        <w:pStyle w:val="ListParagraph"/>
        <w:numPr>
          <w:ilvl w:val="0"/>
          <w:numId w:val="2"/>
        </w:numPr>
        <w:spacing w:after="60" w:line="260"/>
      </w:pPr>
      <w:r>
        <w:rPr>
          <w:rFonts w:ascii="Calibri" w:cs="Calibri" w:eastAsia="Calibri" w:hAnsi="Calibri"/>
          <w:sz w:val="20"/>
          <w:szCs w:val="20"/>
        </w:rPr>
        <w:t xml:space="preserve">Mandat d'élu local ou national pouvant interférer avec l'activité d'Eventy.</w:t>
      </w:r>
    </w:p>
    <w:p>
      <w:pPr>
        <w:pStyle w:val="ListParagraph"/>
        <w:numPr>
          <w:ilvl w:val="0"/>
          <w:numId w:val="2"/>
        </w:numPr>
        <w:spacing w:after="60" w:line="260"/>
      </w:pPr>
      <w:r>
        <w:rPr>
          <w:rFonts w:ascii="Calibri" w:cs="Calibri" w:eastAsia="Calibri" w:hAnsi="Calibri"/>
          <w:sz w:val="20"/>
          <w:szCs w:val="20"/>
        </w:rPr>
        <w:t xml:space="preserve">Engagement associatif ou militant susceptible d'influencer une décision commerciale.</w:t>
      </w:r>
    </w:p>
    <w:p>
      <w:pPr>
        <w:pStyle w:val="ListParagraph"/>
        <w:numPr>
          <w:ilvl w:val="0"/>
          <w:numId w:val="2"/>
        </w:numPr>
        <w:spacing w:after="60" w:line="260"/>
      </w:pPr>
      <w:r>
        <w:rPr>
          <w:rFonts w:ascii="Calibri" w:cs="Calibri" w:eastAsia="Calibri" w:hAnsi="Calibri"/>
          <w:sz w:val="20"/>
          <w:szCs w:val="20"/>
        </w:rPr>
        <w:t xml:space="preserve">Activité d'enseignement, conférence, ou conseil rémunéré chez un concurrent.</w:t>
      </w:r>
    </w:p>
    <w:p>
      <w:pPr>
        <w:spacing w:after="100" w:before="220"/>
      </w:pPr>
      <w:r>
        <w:rPr>
          <w:rFonts w:ascii="Calibri" w:cs="Calibri" w:eastAsia="Calibri" w:hAnsi="Calibri"/>
          <w:b/>
          <w:bCs/>
          <w:color w:val="E87722"/>
          <w:sz w:val="22"/>
          <w:szCs w:val="22"/>
        </w:rPr>
        <w:t xml:space="preserve">3.4. Conflits spécifiques à l'écosystème Eventy</w:t>
      </w:r>
    </w:p>
    <w:p>
      <w:pPr>
        <w:pStyle w:val="ListParagraph"/>
        <w:numPr>
          <w:ilvl w:val="0"/>
          <w:numId w:val="2"/>
        </w:numPr>
        <w:spacing w:after="60" w:line="260"/>
      </w:pPr>
      <w:r>
        <w:rPr>
          <w:rFonts w:ascii="Calibri" w:cs="Calibri" w:eastAsia="Calibri" w:hAnsi="Calibri"/>
          <w:sz w:val="20"/>
          <w:szCs w:val="20"/>
        </w:rPr>
        <w:t xml:space="preserve">Un créateur qui serait également propriétaire d'un HRA partenaire d'un voyage qu'il opère.</w:t>
      </w:r>
    </w:p>
    <w:p>
      <w:pPr>
        <w:pStyle w:val="ListParagraph"/>
        <w:numPr>
          <w:ilvl w:val="0"/>
          <w:numId w:val="2"/>
        </w:numPr>
        <w:spacing w:after="60" w:line="260"/>
      </w:pPr>
      <w:r>
        <w:rPr>
          <w:rFonts w:ascii="Calibri" w:cs="Calibri" w:eastAsia="Calibri" w:hAnsi="Calibri"/>
          <w:sz w:val="20"/>
          <w:szCs w:val="20"/>
        </w:rPr>
        <w:t xml:space="preserve">Un vendeur qui serait simultanément en contrat avec un opérateur de voyages concurrent.</w:t>
      </w:r>
    </w:p>
    <w:p>
      <w:pPr>
        <w:pStyle w:val="ListParagraph"/>
        <w:numPr>
          <w:ilvl w:val="0"/>
          <w:numId w:val="2"/>
        </w:numPr>
        <w:spacing w:after="60" w:line="260"/>
      </w:pPr>
      <w:r>
        <w:rPr>
          <w:rFonts w:ascii="Calibri" w:cs="Calibri" w:eastAsia="Calibri" w:hAnsi="Calibri"/>
          <w:sz w:val="20"/>
          <w:szCs w:val="20"/>
        </w:rPr>
        <w:t xml:space="preserve">Un ambassadeur recevant des avantages d'un autre opérateur sans déclaration.</w:t>
      </w:r>
    </w:p>
    <w:p>
      <w:pPr>
        <w:pStyle w:val="ListParagraph"/>
        <w:numPr>
          <w:ilvl w:val="0"/>
          <w:numId w:val="2"/>
        </w:numPr>
        <w:spacing w:after="60" w:line="260"/>
      </w:pPr>
      <w:r>
        <w:rPr>
          <w:rFonts w:ascii="Calibri" w:cs="Calibri" w:eastAsia="Calibri" w:hAnsi="Calibri"/>
          <w:sz w:val="20"/>
          <w:szCs w:val="20"/>
        </w:rPr>
        <w:t xml:space="preserve">Le Président ayant une participation dans un fournisseur stratégique sans information préalable des associés.</w:t>
      </w:r>
    </w:p>
    <w:p>
      <w:pPr>
        <w:spacing w:after="160" w:before="240"/>
      </w:pPr>
      <w:r>
        <w:rPr>
          <w:rFonts w:ascii="Calibri" w:cs="Calibri" w:eastAsia="Calibri" w:hAnsi="Calibri"/>
          <w:b/>
          <w:bCs/>
          <w:color w:val="1F4E79"/>
          <w:sz w:val="32"/>
          <w:szCs w:val="32"/>
        </w:rPr>
        <w:t xml:space="preserve">4. Engagements et règles</w:t>
      </w:r>
    </w:p>
    <w:p>
      <w:pPr>
        <w:spacing w:after="100" w:before="220"/>
      </w:pPr>
      <w:r>
        <w:rPr>
          <w:rFonts w:ascii="Calibri" w:cs="Calibri" w:eastAsia="Calibri" w:hAnsi="Calibri"/>
          <w:b/>
          <w:bCs/>
          <w:color w:val="E87722"/>
          <w:sz w:val="22"/>
          <w:szCs w:val="22"/>
        </w:rPr>
        <w:t xml:space="preserve">4.1. Devoir de transparence</w:t>
      </w:r>
    </w:p>
    <w:p>
      <w:pPr>
        <w:pStyle w:val="ListParagraph"/>
        <w:numPr>
          <w:ilvl w:val="0"/>
          <w:numId w:val="2"/>
        </w:numPr>
        <w:spacing w:after="60" w:line="260"/>
      </w:pPr>
      <w:r>
        <w:rPr>
          <w:rFonts w:ascii="Calibri" w:cs="Calibri" w:eastAsia="Calibri" w:hAnsi="Calibri"/>
          <w:sz w:val="20"/>
          <w:szCs w:val="20"/>
        </w:rPr>
        <w:t xml:space="preserve">Toute personne soumise à la présente politique déclare proactivement les situations susceptibles de constituer un conflit d'intérêts (réel, apparent ou potentiel).</w:t>
      </w:r>
    </w:p>
    <w:p>
      <w:pPr>
        <w:pStyle w:val="ListParagraph"/>
        <w:numPr>
          <w:ilvl w:val="0"/>
          <w:numId w:val="2"/>
        </w:numPr>
        <w:spacing w:after="60" w:line="260"/>
      </w:pPr>
      <w:r>
        <w:rPr>
          <w:rFonts w:ascii="Calibri" w:cs="Calibri" w:eastAsia="Calibri" w:hAnsi="Calibri"/>
          <w:sz w:val="20"/>
          <w:szCs w:val="20"/>
        </w:rPr>
        <w:t xml:space="preserve">La déclaration est faite par écrit, datée, conservée dans un registre dédié.</w:t>
      </w:r>
    </w:p>
    <w:p>
      <w:pPr>
        <w:pStyle w:val="ListParagraph"/>
        <w:numPr>
          <w:ilvl w:val="0"/>
          <w:numId w:val="2"/>
        </w:numPr>
        <w:spacing w:after="60" w:line="260"/>
      </w:pPr>
      <w:r>
        <w:rPr>
          <w:rFonts w:ascii="Calibri" w:cs="Calibri" w:eastAsia="Calibri" w:hAnsi="Calibri"/>
          <w:sz w:val="20"/>
          <w:szCs w:val="20"/>
        </w:rPr>
        <w:t xml:space="preserve">La déclaration est mise à jour annuellement et à chaque changement significatif.</w:t>
      </w:r>
    </w:p>
    <w:p>
      <w:pPr>
        <w:spacing w:after="100" w:before="220"/>
      </w:pPr>
      <w:r>
        <w:rPr>
          <w:rFonts w:ascii="Calibri" w:cs="Calibri" w:eastAsia="Calibri" w:hAnsi="Calibri"/>
          <w:b/>
          <w:bCs/>
          <w:color w:val="E87722"/>
          <w:sz w:val="22"/>
          <w:szCs w:val="22"/>
        </w:rPr>
        <w:t xml:space="preserve">4.2. Devoir d'abstention</w:t>
      </w:r>
    </w:p>
    <w:p>
      <w:pPr>
        <w:pStyle w:val="ListParagraph"/>
        <w:numPr>
          <w:ilvl w:val="0"/>
          <w:numId w:val="2"/>
        </w:numPr>
        <w:spacing w:after="60" w:line="260"/>
      </w:pPr>
      <w:r>
        <w:rPr>
          <w:rFonts w:ascii="Calibri" w:cs="Calibri" w:eastAsia="Calibri" w:hAnsi="Calibri"/>
          <w:sz w:val="20"/>
          <w:szCs w:val="20"/>
        </w:rPr>
        <w:t xml:space="preserve">La personne en situation de conflit d'intérêts s'abstient de participer à la décision concernée.</w:t>
      </w:r>
    </w:p>
    <w:p>
      <w:pPr>
        <w:pStyle w:val="ListParagraph"/>
        <w:numPr>
          <w:ilvl w:val="0"/>
          <w:numId w:val="2"/>
        </w:numPr>
        <w:spacing w:after="60" w:line="260"/>
      </w:pPr>
      <w:r>
        <w:rPr>
          <w:rFonts w:ascii="Calibri" w:cs="Calibri" w:eastAsia="Calibri" w:hAnsi="Calibri"/>
          <w:sz w:val="20"/>
          <w:szCs w:val="20"/>
        </w:rPr>
        <w:t xml:space="preserve">Elle ne tente pas d'influencer directement ou indirectement les autres décideurs.</w:t>
      </w:r>
    </w:p>
    <w:p>
      <w:pPr>
        <w:pStyle w:val="ListParagraph"/>
        <w:numPr>
          <w:ilvl w:val="0"/>
          <w:numId w:val="2"/>
        </w:numPr>
        <w:spacing w:after="60" w:line="260"/>
      </w:pPr>
      <w:r>
        <w:rPr>
          <w:rFonts w:ascii="Calibri" w:cs="Calibri" w:eastAsia="Calibri" w:hAnsi="Calibri"/>
          <w:sz w:val="20"/>
          <w:szCs w:val="20"/>
        </w:rPr>
        <w:t xml:space="preserve">Elle ne consulte pas et ne traite pas les informations confidentielles relatives à l'objet du conflit.</w:t>
      </w:r>
    </w:p>
    <w:p>
      <w:pPr>
        <w:spacing w:after="100" w:before="220"/>
      </w:pPr>
      <w:r>
        <w:rPr>
          <w:rFonts w:ascii="Calibri" w:cs="Calibri" w:eastAsia="Calibri" w:hAnsi="Calibri"/>
          <w:b/>
          <w:bCs/>
          <w:color w:val="E87722"/>
          <w:sz w:val="22"/>
          <w:szCs w:val="22"/>
        </w:rPr>
        <w:t xml:space="preserve">4.3. Devoir de loyauté</w:t>
      </w:r>
    </w:p>
    <w:p>
      <w:pPr>
        <w:pStyle w:val="ListParagraph"/>
        <w:numPr>
          <w:ilvl w:val="0"/>
          <w:numId w:val="2"/>
        </w:numPr>
        <w:spacing w:after="60" w:line="260"/>
      </w:pPr>
      <w:r>
        <w:rPr>
          <w:rFonts w:ascii="Calibri" w:cs="Calibri" w:eastAsia="Calibri" w:hAnsi="Calibri"/>
          <w:sz w:val="20"/>
          <w:szCs w:val="20"/>
        </w:rPr>
        <w:t xml:space="preserve">Les intérêts d'Eventy priment systématiquement sur les intérêts personnels lorsqu'il y a divergence.</w:t>
      </w:r>
    </w:p>
    <w:p>
      <w:pPr>
        <w:pStyle w:val="ListParagraph"/>
        <w:numPr>
          <w:ilvl w:val="0"/>
          <w:numId w:val="2"/>
        </w:numPr>
        <w:spacing w:after="60" w:line="260"/>
      </w:pPr>
      <w:r>
        <w:rPr>
          <w:rFonts w:ascii="Calibri" w:cs="Calibri" w:eastAsia="Calibri" w:hAnsi="Calibri"/>
          <w:sz w:val="20"/>
          <w:szCs w:val="20"/>
        </w:rPr>
        <w:t xml:space="preserve">Toute opportunité d'affaires identifiée dans le cadre Eventy est proposée d'abord à Eventy.</w:t>
      </w:r>
    </w:p>
    <w:p>
      <w:pPr>
        <w:pStyle w:val="ListParagraph"/>
        <w:numPr>
          <w:ilvl w:val="0"/>
          <w:numId w:val="2"/>
        </w:numPr>
        <w:spacing w:after="60" w:line="260"/>
      </w:pPr>
      <w:r>
        <w:rPr>
          <w:rFonts w:ascii="Calibri" w:cs="Calibri" w:eastAsia="Calibri" w:hAnsi="Calibri"/>
          <w:sz w:val="20"/>
          <w:szCs w:val="20"/>
        </w:rPr>
        <w:t xml:space="preserve">Les ressources d'Eventy ne sont pas utilisées pour des intérêts personnels.</w:t>
      </w:r>
    </w:p>
    <w:p>
      <w:pPr>
        <w:spacing w:after="160" w:before="240"/>
      </w:pPr>
      <w:r>
        <w:rPr>
          <w:rFonts w:ascii="Calibri" w:cs="Calibri" w:eastAsia="Calibri" w:hAnsi="Calibri"/>
          <w:b/>
          <w:bCs/>
          <w:color w:val="1F4E79"/>
          <w:sz w:val="32"/>
          <w:szCs w:val="32"/>
        </w:rPr>
        <w:t xml:space="preserve">5. Règles spécifiques par catégorie</w:t>
      </w:r>
    </w:p>
    <w:p>
      <w:pPr>
        <w:spacing w:after="100" w:before="220"/>
      </w:pPr>
      <w:r>
        <w:rPr>
          <w:rFonts w:ascii="Calibri" w:cs="Calibri" w:eastAsia="Calibri" w:hAnsi="Calibri"/>
          <w:b/>
          <w:bCs/>
          <w:color w:val="E87722"/>
          <w:sz w:val="22"/>
          <w:szCs w:val="22"/>
        </w:rPr>
        <w:t xml:space="preserve">5.1. Pour le Président et dirigeants</w:t>
      </w:r>
    </w:p>
    <w:p>
      <w:pPr>
        <w:pStyle w:val="ListParagraph"/>
        <w:numPr>
          <w:ilvl w:val="0"/>
          <w:numId w:val="2"/>
        </w:numPr>
        <w:spacing w:after="60" w:line="260"/>
      </w:pPr>
      <w:r>
        <w:rPr>
          <w:rFonts w:ascii="Calibri" w:cs="Calibri" w:eastAsia="Calibri" w:hAnsi="Calibri"/>
          <w:sz w:val="20"/>
          <w:szCs w:val="20"/>
        </w:rPr>
        <w:t xml:space="preserve">Déclaration annuelle de patrimoine professionnel et de toutes participations significatives.</w:t>
      </w:r>
    </w:p>
    <w:p>
      <w:pPr>
        <w:pStyle w:val="ListParagraph"/>
        <w:numPr>
          <w:ilvl w:val="0"/>
          <w:numId w:val="2"/>
        </w:numPr>
        <w:spacing w:after="60" w:line="260"/>
      </w:pPr>
      <w:r>
        <w:rPr>
          <w:rFonts w:ascii="Calibri" w:cs="Calibri" w:eastAsia="Calibri" w:hAnsi="Calibri"/>
          <w:sz w:val="20"/>
          <w:szCs w:val="20"/>
        </w:rPr>
        <w:t xml:space="preserve">Information préalable des associés en cas d'opération entre la Société et une entité dirigée par le Président (article L227-10 — convention réglementée).</w:t>
      </w:r>
    </w:p>
    <w:p>
      <w:pPr>
        <w:pStyle w:val="ListParagraph"/>
        <w:numPr>
          <w:ilvl w:val="0"/>
          <w:numId w:val="2"/>
        </w:numPr>
        <w:spacing w:after="60" w:line="260"/>
      </w:pPr>
      <w:r>
        <w:rPr>
          <w:rFonts w:ascii="Calibri" w:cs="Calibri" w:eastAsia="Calibri" w:hAnsi="Calibri"/>
          <w:sz w:val="20"/>
          <w:szCs w:val="20"/>
        </w:rPr>
        <w:t xml:space="preserve">Abstention de vote en assemblée sur les sujets le concernant directement.</w:t>
      </w:r>
    </w:p>
    <w:p>
      <w:pPr>
        <w:pStyle w:val="ListParagraph"/>
        <w:numPr>
          <w:ilvl w:val="0"/>
          <w:numId w:val="2"/>
        </w:numPr>
        <w:spacing w:after="60" w:line="260"/>
      </w:pPr>
      <w:r>
        <w:rPr>
          <w:rFonts w:ascii="Calibri" w:cs="Calibri" w:eastAsia="Calibri" w:hAnsi="Calibri"/>
          <w:sz w:val="20"/>
          <w:szCs w:val="20"/>
        </w:rPr>
        <w:t xml:space="preserve">Le pacte d'associés peut prévoir des restrictions complémentaires (non-concurrence, exclusivité).</w:t>
      </w:r>
    </w:p>
    <w:p>
      <w:pPr>
        <w:spacing w:after="100" w:before="220"/>
      </w:pPr>
      <w:r>
        <w:rPr>
          <w:rFonts w:ascii="Calibri" w:cs="Calibri" w:eastAsia="Calibri" w:hAnsi="Calibri"/>
          <w:b/>
          <w:bCs/>
          <w:color w:val="E87722"/>
          <w:sz w:val="22"/>
          <w:szCs w:val="22"/>
        </w:rPr>
        <w:t xml:space="preserve">5.2. Pour les collaborateurs</w:t>
      </w:r>
    </w:p>
    <w:p>
      <w:pPr>
        <w:pStyle w:val="ListParagraph"/>
        <w:numPr>
          <w:ilvl w:val="0"/>
          <w:numId w:val="2"/>
        </w:numPr>
        <w:spacing w:after="60" w:line="260"/>
      </w:pPr>
      <w:r>
        <w:rPr>
          <w:rFonts w:ascii="Calibri" w:cs="Calibri" w:eastAsia="Calibri" w:hAnsi="Calibri"/>
          <w:sz w:val="20"/>
          <w:szCs w:val="20"/>
        </w:rPr>
        <w:t xml:space="preserve">Déclaration à l'embauche des activités externes en cours.</w:t>
      </w:r>
    </w:p>
    <w:p>
      <w:pPr>
        <w:pStyle w:val="ListParagraph"/>
        <w:numPr>
          <w:ilvl w:val="0"/>
          <w:numId w:val="2"/>
        </w:numPr>
        <w:spacing w:after="60" w:line="260"/>
      </w:pPr>
      <w:r>
        <w:rPr>
          <w:rFonts w:ascii="Calibri" w:cs="Calibri" w:eastAsia="Calibri" w:hAnsi="Calibri"/>
          <w:sz w:val="20"/>
          <w:szCs w:val="20"/>
        </w:rPr>
        <w:t xml:space="preserve">Demande d'autorisation pour toute nouvelle activité rémunérée externe.</w:t>
      </w:r>
    </w:p>
    <w:p>
      <w:pPr>
        <w:pStyle w:val="ListParagraph"/>
        <w:numPr>
          <w:ilvl w:val="0"/>
          <w:numId w:val="2"/>
        </w:numPr>
        <w:spacing w:after="60" w:line="260"/>
      </w:pPr>
      <w:r>
        <w:rPr>
          <w:rFonts w:ascii="Calibri" w:cs="Calibri" w:eastAsia="Calibri" w:hAnsi="Calibri"/>
          <w:sz w:val="20"/>
          <w:szCs w:val="20"/>
        </w:rPr>
        <w:t xml:space="preserve">Information sur les liens familiaux avec partenaires ou candidats à un poste.</w:t>
      </w:r>
    </w:p>
    <w:p>
      <w:pPr>
        <w:spacing w:after="100" w:before="220"/>
      </w:pPr>
      <w:r>
        <w:rPr>
          <w:rFonts w:ascii="Calibri" w:cs="Calibri" w:eastAsia="Calibri" w:hAnsi="Calibri"/>
          <w:b/>
          <w:bCs/>
          <w:color w:val="E87722"/>
          <w:sz w:val="22"/>
          <w:szCs w:val="22"/>
        </w:rPr>
        <w:t xml:space="preserve">5.3. Pour les créateurs, vendeurs, ambassadeurs</w:t>
      </w:r>
    </w:p>
    <w:p>
      <w:pPr>
        <w:pStyle w:val="ListParagraph"/>
        <w:numPr>
          <w:ilvl w:val="0"/>
          <w:numId w:val="2"/>
        </w:numPr>
        <w:spacing w:after="60" w:line="260"/>
      </w:pPr>
      <w:r>
        <w:rPr>
          <w:rFonts w:ascii="Calibri" w:cs="Calibri" w:eastAsia="Calibri" w:hAnsi="Calibri"/>
          <w:sz w:val="20"/>
          <w:szCs w:val="20"/>
        </w:rPr>
        <w:t xml:space="preserve">Déclaration des partenariats commerciaux avec d'autres opérateurs de voyages.</w:t>
      </w:r>
    </w:p>
    <w:p>
      <w:pPr>
        <w:pStyle w:val="ListParagraph"/>
        <w:numPr>
          <w:ilvl w:val="0"/>
          <w:numId w:val="2"/>
        </w:numPr>
        <w:spacing w:after="60" w:line="260"/>
      </w:pPr>
      <w:r>
        <w:rPr>
          <w:rFonts w:ascii="Calibri" w:cs="Calibri" w:eastAsia="Calibri" w:hAnsi="Calibri"/>
          <w:sz w:val="20"/>
          <w:szCs w:val="20"/>
        </w:rPr>
        <w:t xml:space="preserve">Interdiction de représenter simultanément un concurrent direct (sauf accord exprès écrit).</w:t>
      </w:r>
    </w:p>
    <w:p>
      <w:pPr>
        <w:pStyle w:val="ListParagraph"/>
        <w:numPr>
          <w:ilvl w:val="0"/>
          <w:numId w:val="2"/>
        </w:numPr>
        <w:spacing w:after="60" w:line="260"/>
      </w:pPr>
      <w:r>
        <w:rPr>
          <w:rFonts w:ascii="Calibri" w:cs="Calibri" w:eastAsia="Calibri" w:hAnsi="Calibri"/>
          <w:sz w:val="20"/>
          <w:szCs w:val="20"/>
        </w:rPr>
        <w:t xml:space="preserve">Déclaration des liens capitalistiques ou familiaux avec un HRA ou prestataire.</w:t>
      </w:r>
    </w:p>
    <w:p>
      <w:pPr>
        <w:spacing w:after="100" w:before="220"/>
      </w:pPr>
      <w:r>
        <w:rPr>
          <w:rFonts w:ascii="Calibri" w:cs="Calibri" w:eastAsia="Calibri" w:hAnsi="Calibri"/>
          <w:b/>
          <w:bCs/>
          <w:color w:val="E87722"/>
          <w:sz w:val="22"/>
          <w:szCs w:val="22"/>
        </w:rPr>
        <w:t xml:space="preserve">5.4. Pour les partenaires HRA et transporteurs</w:t>
      </w:r>
    </w:p>
    <w:p>
      <w:pPr>
        <w:pStyle w:val="ListParagraph"/>
        <w:numPr>
          <w:ilvl w:val="0"/>
          <w:numId w:val="2"/>
        </w:numPr>
        <w:spacing w:after="60" w:line="260"/>
      </w:pPr>
      <w:r>
        <w:rPr>
          <w:rFonts w:ascii="Calibri" w:cs="Calibri" w:eastAsia="Calibri" w:hAnsi="Calibri"/>
          <w:sz w:val="20"/>
          <w:szCs w:val="20"/>
        </w:rPr>
        <w:t xml:space="preserve">Déclaration des liens éventuels avec des collaborateurs ou dirigeants d'Eventy.</w:t>
      </w:r>
    </w:p>
    <w:p>
      <w:pPr>
        <w:pStyle w:val="ListParagraph"/>
        <w:numPr>
          <w:ilvl w:val="0"/>
          <w:numId w:val="2"/>
        </w:numPr>
        <w:spacing w:after="60" w:line="260"/>
      </w:pPr>
      <w:r>
        <w:rPr>
          <w:rFonts w:ascii="Calibri" w:cs="Calibri" w:eastAsia="Calibri" w:hAnsi="Calibri"/>
          <w:sz w:val="20"/>
          <w:szCs w:val="20"/>
        </w:rPr>
        <w:t xml:space="preserve">Refus de toute pratique tendant à influencer une décision (cadeaux, invitations excessives).</w:t>
      </w:r>
    </w:p>
    <w:p>
      <w:pPr>
        <w:spacing w:after="100" w:before="220"/>
      </w:pPr>
      <w:r>
        <w:rPr>
          <w:rFonts w:ascii="Calibri" w:cs="Calibri" w:eastAsia="Calibri" w:hAnsi="Calibri"/>
          <w:b/>
          <w:bCs/>
          <w:color w:val="E87722"/>
          <w:sz w:val="22"/>
          <w:szCs w:val="22"/>
        </w:rPr>
        <w:t xml:space="preserve">5.5. Pour les conseils externes</w:t>
      </w:r>
    </w:p>
    <w:p>
      <w:pPr>
        <w:pStyle w:val="ListParagraph"/>
        <w:numPr>
          <w:ilvl w:val="0"/>
          <w:numId w:val="2"/>
        </w:numPr>
        <w:spacing w:after="60" w:line="260"/>
      </w:pPr>
      <w:r>
        <w:rPr>
          <w:rFonts w:ascii="Calibri" w:cs="Calibri" w:eastAsia="Calibri" w:hAnsi="Calibri"/>
          <w:sz w:val="20"/>
          <w:szCs w:val="20"/>
        </w:rPr>
        <w:t xml:space="preserve">Déclaration des autres mandats susceptibles de générer un conflit (ex : avocat conseil d'un concurrent).</w:t>
      </w:r>
    </w:p>
    <w:p>
      <w:pPr>
        <w:pStyle w:val="ListParagraph"/>
        <w:numPr>
          <w:ilvl w:val="0"/>
          <w:numId w:val="2"/>
        </w:numPr>
        <w:spacing w:after="60" w:line="260"/>
      </w:pPr>
      <w:r>
        <w:rPr>
          <w:rFonts w:ascii="Calibri" w:cs="Calibri" w:eastAsia="Calibri" w:hAnsi="Calibri"/>
          <w:sz w:val="20"/>
          <w:szCs w:val="20"/>
        </w:rPr>
        <w:t xml:space="preserve">Engagement de confidentialité strict (NDA inclus dans le contrat).</w:t>
      </w:r>
    </w:p>
    <w:p>
      <w:pPr>
        <w:spacing w:after="160" w:before="240"/>
      </w:pPr>
      <w:r>
        <w:rPr>
          <w:rFonts w:ascii="Calibri" w:cs="Calibri" w:eastAsia="Calibri" w:hAnsi="Calibri"/>
          <w:b/>
          <w:bCs/>
          <w:color w:val="1F4E79"/>
          <w:sz w:val="32"/>
          <w:szCs w:val="32"/>
        </w:rPr>
        <w:t xml:space="preserve">6. Procédure de déclaration et de traitement</w:t>
      </w:r>
    </w:p>
    <w:p>
      <w:pPr>
        <w:spacing w:after="100" w:before="220"/>
      </w:pPr>
      <w:r>
        <w:rPr>
          <w:rFonts w:ascii="Calibri" w:cs="Calibri" w:eastAsia="Calibri" w:hAnsi="Calibri"/>
          <w:b/>
          <w:bCs/>
          <w:color w:val="E87722"/>
          <w:sz w:val="22"/>
          <w:szCs w:val="22"/>
        </w:rPr>
        <w:t xml:space="preserve">6.1. Canal de déclaration</w:t>
      </w:r>
    </w:p>
    <w:p>
      <w:pPr>
        <w:pStyle w:val="ListParagraph"/>
        <w:numPr>
          <w:ilvl w:val="0"/>
          <w:numId w:val="2"/>
        </w:numPr>
        <w:spacing w:after="60" w:line="260"/>
      </w:pPr>
      <w:r>
        <w:rPr>
          <w:rFonts w:ascii="Calibri" w:cs="Calibri" w:eastAsia="Calibri" w:hAnsi="Calibri"/>
          <w:sz w:val="20"/>
          <w:szCs w:val="20"/>
        </w:rPr>
        <w:t xml:space="preserve">Email confidentiel : conformite@eventylife.fr (réception centralisée).</w:t>
      </w:r>
    </w:p>
    <w:p>
      <w:pPr>
        <w:pStyle w:val="ListParagraph"/>
        <w:numPr>
          <w:ilvl w:val="0"/>
          <w:numId w:val="2"/>
        </w:numPr>
        <w:spacing w:after="60" w:line="260"/>
      </w:pPr>
      <w:r>
        <w:rPr>
          <w:rFonts w:ascii="Calibri" w:cs="Calibri" w:eastAsia="Calibri" w:hAnsi="Calibri"/>
          <w:sz w:val="20"/>
          <w:szCs w:val="20"/>
        </w:rPr>
        <w:t xml:space="preserve">Possibilité d'utiliser le canal de signalement (alerte@eventylife.fr) si situation grave et urgente.</w:t>
      </w:r>
    </w:p>
    <w:p>
      <w:pPr>
        <w:pStyle w:val="ListParagraph"/>
        <w:numPr>
          <w:ilvl w:val="0"/>
          <w:numId w:val="2"/>
        </w:numPr>
        <w:spacing w:after="60" w:line="260"/>
      </w:pPr>
      <w:r>
        <w:rPr>
          <w:rFonts w:ascii="Calibri" w:cs="Calibri" w:eastAsia="Calibri" w:hAnsi="Calibri"/>
          <w:sz w:val="20"/>
          <w:szCs w:val="20"/>
        </w:rPr>
        <w:t xml:space="preserve">Pour les associés et dirigeants : déclaration auprès de l'assemblée des associés ou comité de gouvernance.</w:t>
      </w:r>
    </w:p>
    <w:p>
      <w:pPr>
        <w:spacing w:after="100" w:before="220"/>
      </w:pPr>
      <w:r>
        <w:rPr>
          <w:rFonts w:ascii="Calibri" w:cs="Calibri" w:eastAsia="Calibri" w:hAnsi="Calibri"/>
          <w:b/>
          <w:bCs/>
          <w:color w:val="E87722"/>
          <w:sz w:val="22"/>
          <w:szCs w:val="22"/>
        </w:rPr>
        <w:t xml:space="preserve">6.2. Étape 1 — Réception et accusé</w:t>
      </w:r>
    </w:p>
    <w:p>
      <w:pPr>
        <w:pStyle w:val="ListParagraph"/>
        <w:numPr>
          <w:ilvl w:val="0"/>
          <w:numId w:val="2"/>
        </w:numPr>
        <w:spacing w:after="60" w:line="260"/>
      </w:pPr>
      <w:r>
        <w:rPr>
          <w:rFonts w:ascii="Calibri" w:cs="Calibri" w:eastAsia="Calibri" w:hAnsi="Calibri"/>
          <w:sz w:val="20"/>
          <w:szCs w:val="20"/>
        </w:rPr>
        <w:t xml:space="preserve">Accusé de réception sous 7 jours ouvrés.</w:t>
      </w:r>
    </w:p>
    <w:p>
      <w:pPr>
        <w:pStyle w:val="ListParagraph"/>
        <w:numPr>
          <w:ilvl w:val="0"/>
          <w:numId w:val="2"/>
        </w:numPr>
        <w:spacing w:after="60" w:line="260"/>
      </w:pPr>
      <w:r>
        <w:rPr>
          <w:rFonts w:ascii="Calibri" w:cs="Calibri" w:eastAsia="Calibri" w:hAnsi="Calibri"/>
          <w:sz w:val="20"/>
          <w:szCs w:val="20"/>
        </w:rPr>
        <w:t xml:space="preserve">Confidentialité stricte des informations transmises.</w:t>
      </w:r>
    </w:p>
    <w:p>
      <w:pPr>
        <w:spacing w:after="100" w:before="220"/>
      </w:pPr>
      <w:r>
        <w:rPr>
          <w:rFonts w:ascii="Calibri" w:cs="Calibri" w:eastAsia="Calibri" w:hAnsi="Calibri"/>
          <w:b/>
          <w:bCs/>
          <w:color w:val="E87722"/>
          <w:sz w:val="22"/>
          <w:szCs w:val="22"/>
        </w:rPr>
        <w:t xml:space="preserve">6.3. Étape 2 — Analyse</w:t>
      </w:r>
    </w:p>
    <w:p>
      <w:pPr>
        <w:pStyle w:val="ListParagraph"/>
        <w:numPr>
          <w:ilvl w:val="0"/>
          <w:numId w:val="2"/>
        </w:numPr>
        <w:spacing w:after="60" w:line="260"/>
      </w:pPr>
      <w:r>
        <w:rPr>
          <w:rFonts w:ascii="Calibri" w:cs="Calibri" w:eastAsia="Calibri" w:hAnsi="Calibri"/>
          <w:sz w:val="20"/>
          <w:szCs w:val="20"/>
        </w:rPr>
        <w:t xml:space="preserve">Examen par le Président (ou par l'avocat tourisme partenaire si conflit impliquant le Président).</w:t>
      </w:r>
    </w:p>
    <w:p>
      <w:pPr>
        <w:pStyle w:val="ListParagraph"/>
        <w:numPr>
          <w:ilvl w:val="0"/>
          <w:numId w:val="2"/>
        </w:numPr>
        <w:spacing w:after="60" w:line="260"/>
      </w:pPr>
      <w:r>
        <w:rPr>
          <w:rFonts w:ascii="Calibri" w:cs="Calibri" w:eastAsia="Calibri" w:hAnsi="Calibri"/>
          <w:sz w:val="20"/>
          <w:szCs w:val="20"/>
        </w:rPr>
        <w:t xml:space="preserve">Caractérisation : réel / apparent / potentiel.</w:t>
      </w:r>
    </w:p>
    <w:p>
      <w:pPr>
        <w:pStyle w:val="ListParagraph"/>
        <w:numPr>
          <w:ilvl w:val="0"/>
          <w:numId w:val="2"/>
        </w:numPr>
        <w:spacing w:after="60" w:line="260"/>
      </w:pPr>
      <w:r>
        <w:rPr>
          <w:rFonts w:ascii="Calibri" w:cs="Calibri" w:eastAsia="Calibri" w:hAnsi="Calibri"/>
          <w:sz w:val="20"/>
          <w:szCs w:val="20"/>
        </w:rPr>
        <w:t xml:space="preserve">Sollicitation de l'éventuelle convention réglementée si nécessaire (article L227-10).</w:t>
      </w:r>
    </w:p>
    <w:p>
      <w:pPr>
        <w:spacing w:after="100" w:before="220"/>
      </w:pPr>
      <w:r>
        <w:rPr>
          <w:rFonts w:ascii="Calibri" w:cs="Calibri" w:eastAsia="Calibri" w:hAnsi="Calibri"/>
          <w:b/>
          <w:bCs/>
          <w:color w:val="E87722"/>
          <w:sz w:val="22"/>
          <w:szCs w:val="22"/>
        </w:rPr>
        <w:t xml:space="preserve">6.4. Étape 3 — Décision</w:t>
      </w:r>
    </w:p>
    <w:p>
      <w:pPr>
        <w:pStyle w:val="ListParagraph"/>
        <w:numPr>
          <w:ilvl w:val="0"/>
          <w:numId w:val="2"/>
        </w:numPr>
        <w:spacing w:after="60" w:line="260"/>
      </w:pPr>
      <w:r>
        <w:rPr>
          <w:rFonts w:ascii="Calibri" w:cs="Calibri" w:eastAsia="Calibri" w:hAnsi="Calibri"/>
          <w:sz w:val="20"/>
          <w:szCs w:val="20"/>
        </w:rPr>
        <w:t xml:space="preserve">Mesure d'abstention partielle ou totale (déport).</w:t>
      </w:r>
    </w:p>
    <w:p>
      <w:pPr>
        <w:pStyle w:val="ListParagraph"/>
        <w:numPr>
          <w:ilvl w:val="0"/>
          <w:numId w:val="2"/>
        </w:numPr>
        <w:spacing w:after="60" w:line="260"/>
      </w:pPr>
      <w:r>
        <w:rPr>
          <w:rFonts w:ascii="Calibri" w:cs="Calibri" w:eastAsia="Calibri" w:hAnsi="Calibri"/>
          <w:sz w:val="20"/>
          <w:szCs w:val="20"/>
        </w:rPr>
        <w:t xml:space="preserve">Mesure d'aménagement (séparation des dossiers, transparence renforcée).</w:t>
      </w:r>
    </w:p>
    <w:p>
      <w:pPr>
        <w:pStyle w:val="ListParagraph"/>
        <w:numPr>
          <w:ilvl w:val="0"/>
          <w:numId w:val="2"/>
        </w:numPr>
        <w:spacing w:after="60" w:line="260"/>
      </w:pPr>
      <w:r>
        <w:rPr>
          <w:rFonts w:ascii="Calibri" w:cs="Calibri" w:eastAsia="Calibri" w:hAnsi="Calibri"/>
          <w:sz w:val="20"/>
          <w:szCs w:val="20"/>
        </w:rPr>
        <w:t xml:space="preserve">Mesure d'exclusion (résiliation contrat partenaire si conflit grave et irrémédiable).</w:t>
      </w:r>
    </w:p>
    <w:p>
      <w:pPr>
        <w:pStyle w:val="ListParagraph"/>
        <w:numPr>
          <w:ilvl w:val="0"/>
          <w:numId w:val="2"/>
        </w:numPr>
        <w:spacing w:after="60" w:line="260"/>
      </w:pPr>
      <w:r>
        <w:rPr>
          <w:rFonts w:ascii="Calibri" w:cs="Calibri" w:eastAsia="Calibri" w:hAnsi="Calibri"/>
          <w:sz w:val="20"/>
          <w:szCs w:val="20"/>
        </w:rPr>
        <w:t xml:space="preserve">Documentation écrite de la décision et notification au déclarant.</w:t>
      </w:r>
    </w:p>
    <w:p>
      <w:pPr>
        <w:spacing w:after="100" w:before="220"/>
      </w:pPr>
      <w:r>
        <w:rPr>
          <w:rFonts w:ascii="Calibri" w:cs="Calibri" w:eastAsia="Calibri" w:hAnsi="Calibri"/>
          <w:b/>
          <w:bCs/>
          <w:color w:val="E87722"/>
          <w:sz w:val="22"/>
          <w:szCs w:val="22"/>
        </w:rPr>
        <w:t xml:space="preserve">6.5. Étape 4 — Suivi</w:t>
      </w:r>
    </w:p>
    <w:p>
      <w:pPr>
        <w:pStyle w:val="ListParagraph"/>
        <w:numPr>
          <w:ilvl w:val="0"/>
          <w:numId w:val="2"/>
        </w:numPr>
        <w:spacing w:after="60" w:line="260"/>
      </w:pPr>
      <w:r>
        <w:rPr>
          <w:rFonts w:ascii="Calibri" w:cs="Calibri" w:eastAsia="Calibri" w:hAnsi="Calibri"/>
          <w:sz w:val="20"/>
          <w:szCs w:val="20"/>
        </w:rPr>
        <w:t xml:space="preserve">Inscription au registre des conflits d'intérêts (centralisé, accès restreint).</w:t>
      </w:r>
    </w:p>
    <w:p>
      <w:pPr>
        <w:pStyle w:val="ListParagraph"/>
        <w:numPr>
          <w:ilvl w:val="0"/>
          <w:numId w:val="2"/>
        </w:numPr>
        <w:spacing w:after="60" w:line="260"/>
      </w:pPr>
      <w:r>
        <w:rPr>
          <w:rFonts w:ascii="Calibri" w:cs="Calibri" w:eastAsia="Calibri" w:hAnsi="Calibri"/>
          <w:sz w:val="20"/>
          <w:szCs w:val="20"/>
        </w:rPr>
        <w:t xml:space="preserve">Revue trimestrielle des situations actives.</w:t>
      </w:r>
    </w:p>
    <w:p>
      <w:pPr>
        <w:pStyle w:val="ListParagraph"/>
        <w:numPr>
          <w:ilvl w:val="0"/>
          <w:numId w:val="2"/>
        </w:numPr>
        <w:spacing w:after="60" w:line="260"/>
      </w:pPr>
      <w:r>
        <w:rPr>
          <w:rFonts w:ascii="Calibri" w:cs="Calibri" w:eastAsia="Calibri" w:hAnsi="Calibri"/>
          <w:sz w:val="20"/>
          <w:szCs w:val="20"/>
        </w:rPr>
        <w:t xml:space="preserve">Réévaluation annuelle ou en cas de changement significatif.</w:t>
      </w:r>
    </w:p>
    <w:p>
      <w:pPr>
        <w:spacing w:after="160" w:before="240"/>
      </w:pPr>
      <w:r>
        <w:rPr>
          <w:rFonts w:ascii="Calibri" w:cs="Calibri" w:eastAsia="Calibri" w:hAnsi="Calibri"/>
          <w:b/>
          <w:bCs/>
          <w:color w:val="1F4E79"/>
          <w:sz w:val="32"/>
          <w:szCs w:val="32"/>
        </w:rPr>
        <w:t xml:space="preserve">7. Cadeaux, invitations et avantages</w:t>
      </w:r>
    </w:p>
    <w:p>
      <w:pPr>
        <w:spacing w:after="100" w:before="220"/>
      </w:pPr>
      <w:r>
        <w:rPr>
          <w:rFonts w:ascii="Calibri" w:cs="Calibri" w:eastAsia="Calibri" w:hAnsi="Calibri"/>
          <w:b/>
          <w:bCs/>
          <w:color w:val="E87722"/>
          <w:sz w:val="22"/>
          <w:szCs w:val="22"/>
        </w:rPr>
        <w:t xml:space="preserve">7.1. Règles applicables</w:t>
      </w:r>
    </w:p>
    <w:p>
      <w:pPr>
        <w:pStyle w:val="ListParagraph"/>
        <w:numPr>
          <w:ilvl w:val="0"/>
          <w:numId w:val="2"/>
        </w:numPr>
        <w:spacing w:after="60" w:line="260"/>
      </w:pPr>
      <w:r>
        <w:rPr>
          <w:rFonts w:ascii="Calibri" w:cs="Calibri" w:eastAsia="Calibri" w:hAnsi="Calibri"/>
          <w:sz w:val="20"/>
          <w:szCs w:val="20"/>
        </w:rPr>
        <w:t xml:space="preserve">Cadeaux d'usage acceptés ≤ 30 € — déclaration au-delà.</w:t>
      </w:r>
    </w:p>
    <w:p>
      <w:pPr>
        <w:pStyle w:val="ListParagraph"/>
        <w:numPr>
          <w:ilvl w:val="0"/>
          <w:numId w:val="2"/>
        </w:numPr>
        <w:spacing w:after="60" w:line="260"/>
      </w:pPr>
      <w:r>
        <w:rPr>
          <w:rFonts w:ascii="Calibri" w:cs="Calibri" w:eastAsia="Calibri" w:hAnsi="Calibri"/>
          <w:sz w:val="20"/>
          <w:szCs w:val="20"/>
        </w:rPr>
        <w:t xml:space="preserve">Cadeaux &gt; 30 € : refus poli ou déclaration au registre, transmission au pot commun équipe à l'occasion.</w:t>
      </w:r>
    </w:p>
    <w:p>
      <w:pPr>
        <w:pStyle w:val="ListParagraph"/>
        <w:numPr>
          <w:ilvl w:val="0"/>
          <w:numId w:val="2"/>
        </w:numPr>
        <w:spacing w:after="60" w:line="260"/>
      </w:pPr>
      <w:r>
        <w:rPr>
          <w:rFonts w:ascii="Calibri" w:cs="Calibri" w:eastAsia="Calibri" w:hAnsi="Calibri"/>
          <w:sz w:val="20"/>
          <w:szCs w:val="20"/>
        </w:rPr>
        <w:t xml:space="preserve">Cadeaux &gt; 100 € (ou récurrents) : refus systématique, sauf situation de courtoisie diplomatique avec validation préalable.</w:t>
      </w:r>
    </w:p>
    <w:p>
      <w:pPr>
        <w:pStyle w:val="ListParagraph"/>
        <w:numPr>
          <w:ilvl w:val="0"/>
          <w:numId w:val="2"/>
        </w:numPr>
        <w:spacing w:after="60" w:line="260"/>
      </w:pPr>
      <w:r>
        <w:rPr>
          <w:rFonts w:ascii="Calibri" w:cs="Calibri" w:eastAsia="Calibri" w:hAnsi="Calibri"/>
          <w:sz w:val="20"/>
          <w:szCs w:val="20"/>
        </w:rPr>
        <w:t xml:space="preserve">Invitations à des événements professionnels : acceptées si finalité d'information / formation, refusées si finalité d'influence.</w:t>
      </w:r>
    </w:p>
    <w:p>
      <w:pPr>
        <w:pStyle w:val="ListParagraph"/>
        <w:numPr>
          <w:ilvl w:val="0"/>
          <w:numId w:val="2"/>
        </w:numPr>
        <w:spacing w:after="60" w:line="260"/>
      </w:pPr>
      <w:r>
        <w:rPr>
          <w:rFonts w:ascii="Calibri" w:cs="Calibri" w:eastAsia="Calibri" w:hAnsi="Calibri"/>
          <w:sz w:val="20"/>
          <w:szCs w:val="20"/>
        </w:rPr>
        <w:t xml:space="preserve">Hospitalités (hébergement, restaurants) : payés par Eventy par défaut.</w:t>
      </w:r>
    </w:p>
    <w:p>
      <w:pPr>
        <w:spacing w:after="100" w:before="220"/>
      </w:pPr>
      <w:r>
        <w:rPr>
          <w:rFonts w:ascii="Calibri" w:cs="Calibri" w:eastAsia="Calibri" w:hAnsi="Calibri"/>
          <w:b/>
          <w:bCs/>
          <w:color w:val="E87722"/>
          <w:sz w:val="22"/>
          <w:szCs w:val="22"/>
        </w:rPr>
        <w:t xml:space="preserve">7.2. Refus systématique</w:t>
      </w:r>
    </w:p>
    <w:p>
      <w:pPr>
        <w:pStyle w:val="ListParagraph"/>
        <w:numPr>
          <w:ilvl w:val="0"/>
          <w:numId w:val="2"/>
        </w:numPr>
        <w:spacing w:after="60" w:line="260"/>
      </w:pPr>
      <w:r>
        <w:rPr>
          <w:rFonts w:ascii="Calibri" w:cs="Calibri" w:eastAsia="Calibri" w:hAnsi="Calibri"/>
          <w:sz w:val="20"/>
          <w:szCs w:val="20"/>
        </w:rPr>
        <w:t xml:space="preserve">Espèces, chèques, virements bancaires sous quelque forme que ce soit.</w:t>
      </w:r>
    </w:p>
    <w:p>
      <w:pPr>
        <w:pStyle w:val="ListParagraph"/>
        <w:numPr>
          <w:ilvl w:val="0"/>
          <w:numId w:val="2"/>
        </w:numPr>
        <w:spacing w:after="60" w:line="260"/>
      </w:pPr>
      <w:r>
        <w:rPr>
          <w:rFonts w:ascii="Calibri" w:cs="Calibri" w:eastAsia="Calibri" w:hAnsi="Calibri"/>
          <w:sz w:val="20"/>
          <w:szCs w:val="20"/>
        </w:rPr>
        <w:t xml:space="preserve">Cartes-cadeaux ou avantages négociables.</w:t>
      </w:r>
    </w:p>
    <w:p>
      <w:pPr>
        <w:pStyle w:val="ListParagraph"/>
        <w:numPr>
          <w:ilvl w:val="0"/>
          <w:numId w:val="2"/>
        </w:numPr>
        <w:spacing w:after="60" w:line="260"/>
      </w:pPr>
      <w:r>
        <w:rPr>
          <w:rFonts w:ascii="Calibri" w:cs="Calibri" w:eastAsia="Calibri" w:hAnsi="Calibri"/>
          <w:sz w:val="20"/>
          <w:szCs w:val="20"/>
        </w:rPr>
        <w:t xml:space="preserve">Avantages personnels gratuits durables (location, prêts, services).</w:t>
      </w:r>
    </w:p>
    <w:p>
      <w:pPr>
        <w:spacing w:after="160" w:before="240"/>
      </w:pPr>
      <w:r>
        <w:rPr>
          <w:rFonts w:ascii="Calibri" w:cs="Calibri" w:eastAsia="Calibri" w:hAnsi="Calibri"/>
          <w:b/>
          <w:bCs/>
          <w:color w:val="1F4E79"/>
          <w:sz w:val="32"/>
          <w:szCs w:val="32"/>
        </w:rPr>
        <w:t xml:space="preserve">8. Sanctions</w:t>
      </w:r>
    </w:p>
    <w:p>
      <w:pPr>
        <w:spacing w:after="100" w:before="220"/>
      </w:pPr>
      <w:r>
        <w:rPr>
          <w:rFonts w:ascii="Calibri" w:cs="Calibri" w:eastAsia="Calibri" w:hAnsi="Calibri"/>
          <w:b/>
          <w:bCs/>
          <w:color w:val="E87722"/>
          <w:sz w:val="22"/>
          <w:szCs w:val="22"/>
        </w:rPr>
        <w:t xml:space="preserve">8.1. Sanctions internes</w:t>
      </w:r>
    </w:p>
    <w:p>
      <w:pPr>
        <w:pStyle w:val="ListParagraph"/>
        <w:numPr>
          <w:ilvl w:val="0"/>
          <w:numId w:val="2"/>
        </w:numPr>
        <w:spacing w:after="60" w:line="260"/>
      </w:pPr>
      <w:r>
        <w:rPr>
          <w:rFonts w:ascii="Calibri" w:cs="Calibri" w:eastAsia="Calibri" w:hAnsi="Calibri"/>
          <w:sz w:val="20"/>
          <w:szCs w:val="20"/>
        </w:rPr>
        <w:t xml:space="preserve">Avertissement écrit en cas de manquement mineur (oubli de déclaration sans impact réel).</w:t>
      </w:r>
    </w:p>
    <w:p>
      <w:pPr>
        <w:pStyle w:val="ListParagraph"/>
        <w:numPr>
          <w:ilvl w:val="0"/>
          <w:numId w:val="2"/>
        </w:numPr>
        <w:spacing w:after="60" w:line="260"/>
      </w:pPr>
      <w:r>
        <w:rPr>
          <w:rFonts w:ascii="Calibri" w:cs="Calibri" w:eastAsia="Calibri" w:hAnsi="Calibri"/>
          <w:sz w:val="20"/>
          <w:szCs w:val="20"/>
        </w:rPr>
        <w:t xml:space="preserve">Mise à pied disciplinaire en cas de manquement modéré (déclaration tardive avec impact limité).</w:t>
      </w:r>
    </w:p>
    <w:p>
      <w:pPr>
        <w:pStyle w:val="ListParagraph"/>
        <w:numPr>
          <w:ilvl w:val="0"/>
          <w:numId w:val="2"/>
        </w:numPr>
        <w:spacing w:after="60" w:line="260"/>
      </w:pPr>
      <w:r>
        <w:rPr>
          <w:rFonts w:ascii="Calibri" w:cs="Calibri" w:eastAsia="Calibri" w:hAnsi="Calibri"/>
          <w:sz w:val="20"/>
          <w:szCs w:val="20"/>
        </w:rPr>
        <w:t xml:space="preserve">Licenciement pour faute grave en cas de manquement caractérisé (dissimulation, profit personnel).</w:t>
      </w:r>
    </w:p>
    <w:p>
      <w:pPr>
        <w:spacing w:after="100" w:before="220"/>
      </w:pPr>
      <w:r>
        <w:rPr>
          <w:rFonts w:ascii="Calibri" w:cs="Calibri" w:eastAsia="Calibri" w:hAnsi="Calibri"/>
          <w:b/>
          <w:bCs/>
          <w:color w:val="E87722"/>
          <w:sz w:val="22"/>
          <w:szCs w:val="22"/>
        </w:rPr>
        <w:t xml:space="preserve">8.2. Sanctions externes (partenaires)</w:t>
      </w:r>
    </w:p>
    <w:p>
      <w:pPr>
        <w:pStyle w:val="ListParagraph"/>
        <w:numPr>
          <w:ilvl w:val="0"/>
          <w:numId w:val="2"/>
        </w:numPr>
        <w:spacing w:after="60" w:line="260"/>
      </w:pPr>
      <w:r>
        <w:rPr>
          <w:rFonts w:ascii="Calibri" w:cs="Calibri" w:eastAsia="Calibri" w:hAnsi="Calibri"/>
          <w:sz w:val="20"/>
          <w:szCs w:val="20"/>
        </w:rPr>
        <w:t xml:space="preserve">Avertissement écrit en cas de manquement mineur.</w:t>
      </w:r>
    </w:p>
    <w:p>
      <w:pPr>
        <w:pStyle w:val="ListParagraph"/>
        <w:numPr>
          <w:ilvl w:val="0"/>
          <w:numId w:val="2"/>
        </w:numPr>
        <w:spacing w:after="60" w:line="260"/>
      </w:pPr>
      <w:r>
        <w:rPr>
          <w:rFonts w:ascii="Calibri" w:cs="Calibri" w:eastAsia="Calibri" w:hAnsi="Calibri"/>
          <w:sz w:val="20"/>
          <w:szCs w:val="20"/>
        </w:rPr>
        <w:t xml:space="preserve">Suspension de la relation commerciale en cas de manquement modéré.</w:t>
      </w:r>
    </w:p>
    <w:p>
      <w:pPr>
        <w:pStyle w:val="ListParagraph"/>
        <w:numPr>
          <w:ilvl w:val="0"/>
          <w:numId w:val="2"/>
        </w:numPr>
        <w:spacing w:after="60" w:line="260"/>
      </w:pPr>
      <w:r>
        <w:rPr>
          <w:rFonts w:ascii="Calibri" w:cs="Calibri" w:eastAsia="Calibri" w:hAnsi="Calibri"/>
          <w:sz w:val="20"/>
          <w:szCs w:val="20"/>
        </w:rPr>
        <w:t xml:space="preserve">Résiliation immédiate sans indemnité en cas de manquement grave.</w:t>
      </w:r>
    </w:p>
    <w:p>
      <w:pPr>
        <w:spacing w:after="100" w:before="220"/>
      </w:pPr>
      <w:r>
        <w:rPr>
          <w:rFonts w:ascii="Calibri" w:cs="Calibri" w:eastAsia="Calibri" w:hAnsi="Calibri"/>
          <w:b/>
          <w:bCs/>
          <w:color w:val="E87722"/>
          <w:sz w:val="22"/>
          <w:szCs w:val="22"/>
        </w:rPr>
        <w:t xml:space="preserve">8.3. Sanctions pénales et civiles</w:t>
      </w:r>
    </w:p>
    <w:p>
      <w:pPr>
        <w:pStyle w:val="ListParagraph"/>
        <w:numPr>
          <w:ilvl w:val="0"/>
          <w:numId w:val="2"/>
        </w:numPr>
        <w:spacing w:after="60" w:line="260"/>
      </w:pPr>
      <w:r>
        <w:rPr>
          <w:rFonts w:ascii="Calibri" w:cs="Calibri" w:eastAsia="Calibri" w:hAnsi="Calibri"/>
          <w:sz w:val="20"/>
          <w:szCs w:val="20"/>
        </w:rPr>
        <w:t xml:space="preserve">Action en justice en cas de fraude ou abus de bien social.</w:t>
      </w:r>
    </w:p>
    <w:p>
      <w:pPr>
        <w:pStyle w:val="ListParagraph"/>
        <w:numPr>
          <w:ilvl w:val="0"/>
          <w:numId w:val="2"/>
        </w:numPr>
        <w:spacing w:after="60" w:line="260"/>
      </w:pPr>
      <w:r>
        <w:rPr>
          <w:rFonts w:ascii="Calibri" w:cs="Calibri" w:eastAsia="Calibri" w:hAnsi="Calibri"/>
          <w:sz w:val="20"/>
          <w:szCs w:val="20"/>
        </w:rPr>
        <w:t xml:space="preserve">Demande de dommages et intérêts en cas de préjudice avéré.</w:t>
      </w:r>
    </w:p>
    <w:p>
      <w:pPr>
        <w:pStyle w:val="ListParagraph"/>
        <w:numPr>
          <w:ilvl w:val="0"/>
          <w:numId w:val="2"/>
        </w:numPr>
        <w:spacing w:after="60" w:line="260"/>
      </w:pPr>
      <w:r>
        <w:rPr>
          <w:rFonts w:ascii="Calibri" w:cs="Calibri" w:eastAsia="Calibri" w:hAnsi="Calibri"/>
          <w:sz w:val="20"/>
          <w:szCs w:val="20"/>
        </w:rPr>
        <w:t xml:space="preserve">Signalement aux autorités (procureur, AFA) si infraction pénale.</w:t>
      </w:r>
    </w:p>
    <w:p>
      <w:pPr>
        <w:spacing w:after="160" w:before="240"/>
      </w:pPr>
      <w:r>
        <w:rPr>
          <w:rFonts w:ascii="Calibri" w:cs="Calibri" w:eastAsia="Calibri" w:hAnsi="Calibri"/>
          <w:b/>
          <w:bCs/>
          <w:color w:val="1F4E79"/>
          <w:sz w:val="32"/>
          <w:szCs w:val="32"/>
        </w:rPr>
        <w:t xml:space="preserve">9. Indicateurs et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déclaration annuelle (équipe)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déclaration partenaires actifs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Conflits identifiés et traités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moyen de traitement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14 j</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 j</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Sanctions prononcées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Reporting annuel transparent</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Reporting annuel transparent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Formation conflits d'intérêts annuelle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bl>
    <w:p>
      <w:pPr>
        <w:spacing w:after="160" w:before="240"/>
      </w:pPr>
      <w:r>
        <w:rPr>
          <w:rFonts w:ascii="Calibri" w:cs="Calibri" w:eastAsia="Calibri" w:hAnsi="Calibri"/>
          <w:b/>
          <w:bCs/>
          <w:color w:val="1F4E79"/>
          <w:sz w:val="32"/>
          <w:szCs w:val="32"/>
        </w:rPr>
        <w:t xml:space="preserve">10. Sensibilisation et formation</w:t>
      </w:r>
    </w:p>
    <w:p>
      <w:pPr>
        <w:pStyle w:val="ListParagraph"/>
        <w:numPr>
          <w:ilvl w:val="0"/>
          <w:numId w:val="2"/>
        </w:numPr>
        <w:spacing w:after="60" w:line="260"/>
      </w:pPr>
      <w:r>
        <w:rPr>
          <w:rFonts w:ascii="Calibri" w:cs="Calibri" w:eastAsia="Calibri" w:hAnsi="Calibri"/>
          <w:sz w:val="20"/>
          <w:szCs w:val="20"/>
        </w:rPr>
        <w:t xml:space="preserve">Module dédié dans l'onboarding équipe (15 min) avec cas pratiques.</w:t>
      </w:r>
    </w:p>
    <w:p>
      <w:pPr>
        <w:pStyle w:val="ListParagraph"/>
        <w:numPr>
          <w:ilvl w:val="0"/>
          <w:numId w:val="2"/>
        </w:numPr>
        <w:spacing w:after="60" w:line="260"/>
      </w:pPr>
      <w:r>
        <w:rPr>
          <w:rFonts w:ascii="Calibri" w:cs="Calibri" w:eastAsia="Calibri" w:hAnsi="Calibri"/>
          <w:sz w:val="20"/>
          <w:szCs w:val="20"/>
        </w:rPr>
        <w:t xml:space="preserve">Rappel annuel obligatoire avec déclaration actualisée.</w:t>
      </w:r>
    </w:p>
    <w:p>
      <w:pPr>
        <w:pStyle w:val="ListParagraph"/>
        <w:numPr>
          <w:ilvl w:val="0"/>
          <w:numId w:val="2"/>
        </w:numPr>
        <w:spacing w:after="60" w:line="260"/>
      </w:pPr>
      <w:r>
        <w:rPr>
          <w:rFonts w:ascii="Calibri" w:cs="Calibri" w:eastAsia="Calibri" w:hAnsi="Calibri"/>
          <w:sz w:val="20"/>
          <w:szCs w:val="20"/>
        </w:rPr>
        <w:t xml:space="preserve">Cas pratiques discutés en comité gouvernance trimestriel.</w:t>
      </w:r>
    </w:p>
    <w:p>
      <w:pPr>
        <w:pStyle w:val="ListParagraph"/>
        <w:numPr>
          <w:ilvl w:val="0"/>
          <w:numId w:val="2"/>
        </w:numPr>
        <w:spacing w:after="60" w:line="260"/>
      </w:pPr>
      <w:r>
        <w:rPr>
          <w:rFonts w:ascii="Calibri" w:cs="Calibri" w:eastAsia="Calibri" w:hAnsi="Calibri"/>
          <w:sz w:val="20"/>
          <w:szCs w:val="20"/>
        </w:rPr>
        <w:t xml:space="preserve">Communication de la présente politique aux partenaires lors de la signature du contrat (annexe).</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1er mai 2026. Mise à jour annuelle.</w:t>
      </w:r>
    </w:p>
    <w:p>
      <w:pPr>
        <w:spacing w:after="100" w:line="280"/>
        <w:jc w:val="both"/>
      </w:pPr>
      <w:r>
        <w:rPr>
          <w:rFonts w:ascii="Calibri" w:cs="Calibri" w:eastAsia="Calibri" w:hAnsi="Calibri"/>
          <w:i/>
          <w:iCs/>
          <w:color w:val="555555"/>
          <w:sz w:val="18"/>
          <w:szCs w:val="18"/>
        </w:rPr>
        <w:t xml:space="preserve">Cohérence avec : Politique anti-corruption, Procédure de signalement, Politique RSE (gouvernance), Code conduite ambassadeurs, Pacte d'associés, Statuts SAS.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conflits d'intérêts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gestion des conflits d'intérêts</dc:title>
  <dc:creator>David Eventy — Eventy Life SAS</dc:creator>
  <dc:description>Politique de prévention et gestion des conflits d'intérêts.</dc:description>
  <cp:lastModifiedBy>Un-named</cp:lastModifiedBy>
  <cp:revision>1</cp:revision>
  <dcterms:created xsi:type="dcterms:W3CDTF">2026-05-01T21:53:43.648Z</dcterms:created>
  <dcterms:modified xsi:type="dcterms:W3CDTF">2026-05-01T21:53:43.648Z</dcterms:modified>
</cp:coreProperties>
</file>

<file path=docProps/custom.xml><?xml version="1.0" encoding="utf-8"?>
<Properties xmlns="http://schemas.openxmlformats.org/officeDocument/2006/custom-properties" xmlns:vt="http://schemas.openxmlformats.org/officeDocument/2006/docPropsVTypes"/>
</file>