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D'INCLUSION ET DIVERSITÉ EVENTY</w:t>
            </w:r>
          </w:p>
          <w:p>
            <w:pPr>
              <w:spacing w:after="0"/>
              <w:jc w:val="center"/>
            </w:pPr>
            <w:r>
              <w:rPr>
                <w:rFonts w:ascii="Calibri" w:cs="Calibri" w:eastAsia="Calibri" w:hAnsi="Calibri"/>
                <w:i/>
                <w:iCs/>
                <w:color w:val="1F4E79"/>
                <w:sz w:val="18"/>
                <w:szCs w:val="18"/>
              </w:rPr>
              <w:t xml:space="preserve">Engagements pour une équipe et une communauté ouvertes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charte formalise les engagements d'EVENTY LIFE SAS en matière d'inclusion et de diversité. Elle s'applique à toutes les parties prenantes : équipe interne, partenaires (créateurs, vendeurs, ambassadeurs, HRA), voyageurs. Elle complète la Politique RSE (pilier social), la Procédure de recrutement, la Politique accessibilité PMR et la Charte télétravail.</w:t>
      </w:r>
    </w:p>
    <w:p>
      <w:pPr>
        <w:spacing w:after="100" w:line="280"/>
        <w:jc w:val="both"/>
      </w:pPr>
      <w:r>
        <w:rPr>
          <w:rFonts w:ascii="Calibri" w:cs="Calibri" w:eastAsia="Calibri" w:hAnsi="Calibri"/>
          <w:i/>
          <w:iCs/>
          <w:color w:val="1A1A1A"/>
          <w:sz w:val="20"/>
          <w:szCs w:val="20"/>
        </w:rPr>
        <w:t xml:space="preserve">Eventy considère que la diversité est une richesse — pas une contrainte ni un argument marketing. Une équipe diverse imagine des voyages pour davantage de monde. Une communauté inclusive s'enrichit de la rencontre entre profils. Cette charte n'est pas un texte de communication : c'est un cadre concret d'action.</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Article L1132-1 du Code du travail — non-discrimination (25 critères).</w:t>
      </w:r>
    </w:p>
    <w:p>
      <w:pPr>
        <w:pStyle w:val="ListParagraph"/>
        <w:numPr>
          <w:ilvl w:val="0"/>
          <w:numId w:val="2"/>
        </w:numPr>
        <w:spacing w:after="60" w:line="260"/>
      </w:pPr>
      <w:r>
        <w:rPr>
          <w:rFonts w:ascii="Calibri" w:cs="Calibri" w:eastAsia="Calibri" w:hAnsi="Calibri"/>
          <w:sz w:val="20"/>
          <w:szCs w:val="20"/>
        </w:rPr>
        <w:t xml:space="preserve">Loi du 11 février 2005 — égalité des droits et des chances.</w:t>
      </w:r>
    </w:p>
    <w:p>
      <w:pPr>
        <w:pStyle w:val="ListParagraph"/>
        <w:numPr>
          <w:ilvl w:val="0"/>
          <w:numId w:val="2"/>
        </w:numPr>
        <w:spacing w:after="60" w:line="260"/>
      </w:pPr>
      <w:r>
        <w:rPr>
          <w:rFonts w:ascii="Calibri" w:cs="Calibri" w:eastAsia="Calibri" w:hAnsi="Calibri"/>
          <w:sz w:val="20"/>
          <w:szCs w:val="20"/>
        </w:rPr>
        <w:t xml:space="preserve">Loi du 27 mai 2008 — non-discrimination.</w:t>
      </w:r>
    </w:p>
    <w:p>
      <w:pPr>
        <w:pStyle w:val="ListParagraph"/>
        <w:numPr>
          <w:ilvl w:val="0"/>
          <w:numId w:val="2"/>
        </w:numPr>
        <w:spacing w:after="60" w:line="260"/>
      </w:pPr>
      <w:r>
        <w:rPr>
          <w:rFonts w:ascii="Calibri" w:cs="Calibri" w:eastAsia="Calibri" w:hAnsi="Calibri"/>
          <w:sz w:val="20"/>
          <w:szCs w:val="20"/>
        </w:rPr>
        <w:t xml:space="preserve">Loi Climat et Résilience — pilier social.</w:t>
      </w:r>
    </w:p>
    <w:p>
      <w:pPr>
        <w:pStyle w:val="ListParagraph"/>
        <w:numPr>
          <w:ilvl w:val="0"/>
          <w:numId w:val="2"/>
        </w:numPr>
        <w:spacing w:after="60" w:line="260"/>
      </w:pPr>
      <w:r>
        <w:rPr>
          <w:rFonts w:ascii="Calibri" w:cs="Calibri" w:eastAsia="Calibri" w:hAnsi="Calibri"/>
          <w:sz w:val="20"/>
          <w:szCs w:val="20"/>
        </w:rPr>
        <w:t xml:space="preserve">Politique RSE Eventy (cohérence).</w:t>
      </w:r>
    </w:p>
    <w:p>
      <w:pPr>
        <w:pStyle w:val="ListParagraph"/>
        <w:numPr>
          <w:ilvl w:val="0"/>
          <w:numId w:val="2"/>
        </w:numPr>
        <w:spacing w:after="60" w:line="260"/>
      </w:pPr>
      <w:r>
        <w:rPr>
          <w:rFonts w:ascii="Calibri" w:cs="Calibri" w:eastAsia="Calibri" w:hAnsi="Calibri"/>
          <w:sz w:val="20"/>
          <w:szCs w:val="20"/>
        </w:rPr>
        <w:t xml:space="preserve">Convention OIT n° 100 et 111 — égalité de rémunération et non-discrimination emploi.</w:t>
      </w:r>
    </w:p>
    <w:p>
      <w:pPr>
        <w:spacing w:after="160" w:before="240"/>
      </w:pPr>
      <w:r>
        <w:rPr>
          <w:rFonts w:ascii="Calibri" w:cs="Calibri" w:eastAsia="Calibri" w:hAnsi="Calibri"/>
          <w:b/>
          <w:bCs/>
          <w:color w:val="1F4E79"/>
          <w:sz w:val="32"/>
          <w:szCs w:val="32"/>
        </w:rPr>
        <w:t xml:space="preserve">2. Engagements généraux</w:t>
      </w:r>
    </w:p>
    <w:p>
      <w:pPr>
        <w:spacing w:after="100" w:before="220"/>
      </w:pPr>
      <w:r>
        <w:rPr>
          <w:rFonts w:ascii="Calibri" w:cs="Calibri" w:eastAsia="Calibri" w:hAnsi="Calibri"/>
          <w:b/>
          <w:bCs/>
          <w:color w:val="E87722"/>
          <w:sz w:val="22"/>
          <w:szCs w:val="22"/>
        </w:rPr>
        <w:t xml:space="preserve">2.1. Six principes</w:t>
      </w:r>
    </w:p>
    <w:p>
      <w:pPr>
        <w:pStyle w:val="ListParagraph"/>
        <w:numPr>
          <w:ilvl w:val="0"/>
          <w:numId w:val="2"/>
        </w:numPr>
        <w:spacing w:after="60" w:line="260"/>
      </w:pPr>
      <w:r>
        <w:rPr>
          <w:rFonts w:ascii="Calibri" w:cs="Calibri" w:eastAsia="Calibri" w:hAnsi="Calibri"/>
          <w:sz w:val="20"/>
          <w:szCs w:val="20"/>
        </w:rPr>
        <w:t xml:space="preserve">Égalité de traitement absolue — aucun des 25 critères discriminatoires.</w:t>
      </w:r>
    </w:p>
    <w:p>
      <w:pPr>
        <w:pStyle w:val="ListParagraph"/>
        <w:numPr>
          <w:ilvl w:val="0"/>
          <w:numId w:val="2"/>
        </w:numPr>
        <w:spacing w:after="60" w:line="260"/>
      </w:pPr>
      <w:r>
        <w:rPr>
          <w:rFonts w:ascii="Calibri" w:cs="Calibri" w:eastAsia="Calibri" w:hAnsi="Calibri"/>
          <w:sz w:val="20"/>
          <w:szCs w:val="20"/>
        </w:rPr>
        <w:t xml:space="preserve">Transparence salariale — fourchettes publiées dans annonces (cohérence Procédure de recrutement).</w:t>
      </w:r>
    </w:p>
    <w:p>
      <w:pPr>
        <w:pStyle w:val="ListParagraph"/>
        <w:numPr>
          <w:ilvl w:val="0"/>
          <w:numId w:val="2"/>
        </w:numPr>
        <w:spacing w:after="60" w:line="260"/>
      </w:pPr>
      <w:r>
        <w:rPr>
          <w:rFonts w:ascii="Calibri" w:cs="Calibri" w:eastAsia="Calibri" w:hAnsi="Calibri"/>
          <w:sz w:val="20"/>
          <w:szCs w:val="20"/>
        </w:rPr>
        <w:t xml:space="preserve">Accessibilité — voyages, locaux, plateforme (cohérence Politique accessibilité PMR + Plan accessibilité numérique).</w:t>
      </w:r>
    </w:p>
    <w:p>
      <w:pPr>
        <w:pStyle w:val="ListParagraph"/>
        <w:numPr>
          <w:ilvl w:val="0"/>
          <w:numId w:val="2"/>
        </w:numPr>
        <w:spacing w:after="60" w:line="260"/>
      </w:pPr>
      <w:r>
        <w:rPr>
          <w:rFonts w:ascii="Calibri" w:cs="Calibri" w:eastAsia="Calibri" w:hAnsi="Calibri"/>
          <w:sz w:val="20"/>
          <w:szCs w:val="20"/>
        </w:rPr>
        <w:t xml:space="preserve">Représentation — équipe et communication reflètent la diversité de la société.</w:t>
      </w:r>
    </w:p>
    <w:p>
      <w:pPr>
        <w:pStyle w:val="ListParagraph"/>
        <w:numPr>
          <w:ilvl w:val="0"/>
          <w:numId w:val="2"/>
        </w:numPr>
        <w:spacing w:after="60" w:line="260"/>
      </w:pPr>
      <w:r>
        <w:rPr>
          <w:rFonts w:ascii="Calibri" w:cs="Calibri" w:eastAsia="Calibri" w:hAnsi="Calibri"/>
          <w:sz w:val="20"/>
          <w:szCs w:val="20"/>
        </w:rPr>
        <w:t xml:space="preserve">Bienveillance — refus de tout harcèlement, discrimination ou comportement excluant.</w:t>
      </w:r>
    </w:p>
    <w:p>
      <w:pPr>
        <w:pStyle w:val="ListParagraph"/>
        <w:numPr>
          <w:ilvl w:val="0"/>
          <w:numId w:val="2"/>
        </w:numPr>
        <w:spacing w:after="60" w:line="260"/>
      </w:pPr>
      <w:r>
        <w:rPr>
          <w:rFonts w:ascii="Calibri" w:cs="Calibri" w:eastAsia="Calibri" w:hAnsi="Calibri"/>
          <w:sz w:val="20"/>
          <w:szCs w:val="20"/>
        </w:rPr>
        <w:t xml:space="preserve">Action concrète — au-delà des mots, des engagements chiffrés et mesurés.</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de la discrimination par origine, sexe, orientation, identité de genre, religion.</w:t>
      </w:r>
    </w:p>
    <w:p>
      <w:pPr>
        <w:pStyle w:val="ListParagraph"/>
        <w:numPr>
          <w:ilvl w:val="0"/>
          <w:numId w:val="2"/>
        </w:numPr>
        <w:spacing w:after="60" w:line="260"/>
      </w:pPr>
      <w:r>
        <w:rPr>
          <w:rFonts w:ascii="Calibri" w:cs="Calibri" w:eastAsia="Calibri" w:hAnsi="Calibri"/>
          <w:sz w:val="20"/>
          <w:szCs w:val="20"/>
        </w:rPr>
        <w:t xml:space="preserve">Refus de la discrimination par âge (jeune ou senior).</w:t>
      </w:r>
    </w:p>
    <w:p>
      <w:pPr>
        <w:pStyle w:val="ListParagraph"/>
        <w:numPr>
          <w:ilvl w:val="0"/>
          <w:numId w:val="2"/>
        </w:numPr>
        <w:spacing w:after="60" w:line="260"/>
      </w:pPr>
      <w:r>
        <w:rPr>
          <w:rFonts w:ascii="Calibri" w:cs="Calibri" w:eastAsia="Calibri" w:hAnsi="Calibri"/>
          <w:sz w:val="20"/>
          <w:szCs w:val="20"/>
        </w:rPr>
        <w:t xml:space="preserve">Refus du validisme (discrimination des personnes en situation de handicap).</w:t>
      </w:r>
    </w:p>
    <w:p>
      <w:pPr>
        <w:pStyle w:val="ListParagraph"/>
        <w:numPr>
          <w:ilvl w:val="0"/>
          <w:numId w:val="2"/>
        </w:numPr>
        <w:spacing w:after="60" w:line="260"/>
      </w:pPr>
      <w:r>
        <w:rPr>
          <w:rFonts w:ascii="Calibri" w:cs="Calibri" w:eastAsia="Calibri" w:hAnsi="Calibri"/>
          <w:sz w:val="20"/>
          <w:szCs w:val="20"/>
        </w:rPr>
        <w:t xml:space="preserve">Refus de la discrimination économique (par patronyme, lieu de résidence, domiciliation bancaire).</w:t>
      </w:r>
    </w:p>
    <w:p>
      <w:pPr>
        <w:pStyle w:val="ListParagraph"/>
        <w:numPr>
          <w:ilvl w:val="0"/>
          <w:numId w:val="2"/>
        </w:numPr>
        <w:spacing w:after="60" w:line="260"/>
      </w:pPr>
      <w:r>
        <w:rPr>
          <w:rFonts w:ascii="Calibri" w:cs="Calibri" w:eastAsia="Calibri" w:hAnsi="Calibri"/>
          <w:sz w:val="20"/>
          <w:szCs w:val="20"/>
        </w:rPr>
        <w:t xml:space="preserve">Refus du token-isme (mettre en avant des minorités sans engagement réel).</w:t>
      </w:r>
    </w:p>
    <w:p>
      <w:pPr>
        <w:pStyle w:val="ListParagraph"/>
        <w:numPr>
          <w:ilvl w:val="0"/>
          <w:numId w:val="2"/>
        </w:numPr>
        <w:spacing w:after="60" w:line="260"/>
      </w:pPr>
      <w:r>
        <w:rPr>
          <w:rFonts w:ascii="Calibri" w:cs="Calibri" w:eastAsia="Calibri" w:hAnsi="Calibri"/>
          <w:sz w:val="20"/>
          <w:szCs w:val="20"/>
        </w:rPr>
        <w:t xml:space="preserve">Refus du performatif sans actions concrètes.</w:t>
      </w:r>
    </w:p>
    <w:p>
      <w:pPr>
        <w:spacing w:after="160" w:before="240"/>
      </w:pPr>
      <w:r>
        <w:rPr>
          <w:rFonts w:ascii="Calibri" w:cs="Calibri" w:eastAsia="Calibri" w:hAnsi="Calibri"/>
          <w:b/>
          <w:bCs/>
          <w:color w:val="1F4E79"/>
          <w:sz w:val="32"/>
          <w:szCs w:val="32"/>
        </w:rPr>
        <w:t xml:space="preserve">3. Engagements équipe interne</w:t>
      </w:r>
    </w:p>
    <w:p>
      <w:pPr>
        <w:spacing w:after="100" w:before="220"/>
      </w:pPr>
      <w:r>
        <w:rPr>
          <w:rFonts w:ascii="Calibri" w:cs="Calibri" w:eastAsia="Calibri" w:hAnsi="Calibri"/>
          <w:b/>
          <w:bCs/>
          <w:color w:val="E87722"/>
          <w:sz w:val="22"/>
          <w:szCs w:val="22"/>
        </w:rPr>
        <w:t xml:space="preserve">3.1. Recrutement</w:t>
      </w:r>
    </w:p>
    <w:p>
      <w:pPr>
        <w:pStyle w:val="ListParagraph"/>
        <w:numPr>
          <w:ilvl w:val="0"/>
          <w:numId w:val="2"/>
        </w:numPr>
        <w:spacing w:after="60" w:line="260"/>
      </w:pPr>
      <w:r>
        <w:rPr>
          <w:rFonts w:ascii="Calibri" w:cs="Calibri" w:eastAsia="Calibri" w:hAnsi="Calibri"/>
          <w:sz w:val="20"/>
          <w:szCs w:val="20"/>
        </w:rPr>
        <w:t xml:space="preserve">Annonces épicènes (cohérence Procédure de recrutement).</w:t>
      </w:r>
    </w:p>
    <w:p>
      <w:pPr>
        <w:pStyle w:val="ListParagraph"/>
        <w:numPr>
          <w:ilvl w:val="0"/>
          <w:numId w:val="2"/>
        </w:numPr>
        <w:spacing w:after="60" w:line="260"/>
      </w:pPr>
      <w:r>
        <w:rPr>
          <w:rFonts w:ascii="Calibri" w:cs="Calibri" w:eastAsia="Calibri" w:hAnsi="Calibri"/>
          <w:sz w:val="20"/>
          <w:szCs w:val="20"/>
        </w:rPr>
        <w:t xml:space="preserve">Refus des photos / âge / situation familiale dans les CV reçus.</w:t>
      </w:r>
    </w:p>
    <w:p>
      <w:pPr>
        <w:pStyle w:val="ListParagraph"/>
        <w:numPr>
          <w:ilvl w:val="0"/>
          <w:numId w:val="2"/>
        </w:numPr>
        <w:spacing w:after="60" w:line="260"/>
      </w:pPr>
      <w:r>
        <w:rPr>
          <w:rFonts w:ascii="Calibri" w:cs="Calibri" w:eastAsia="Calibri" w:hAnsi="Calibri"/>
          <w:sz w:val="20"/>
          <w:szCs w:val="20"/>
        </w:rPr>
        <w:t xml:space="preserve">Diversité de la short-list (au moins 30 % candidats issus de profils sous-représentés).</w:t>
      </w:r>
    </w:p>
    <w:p>
      <w:pPr>
        <w:pStyle w:val="ListParagraph"/>
        <w:numPr>
          <w:ilvl w:val="0"/>
          <w:numId w:val="2"/>
        </w:numPr>
        <w:spacing w:after="60" w:line="260"/>
      </w:pPr>
      <w:r>
        <w:rPr>
          <w:rFonts w:ascii="Calibri" w:cs="Calibri" w:eastAsia="Calibri" w:hAnsi="Calibri"/>
          <w:sz w:val="20"/>
          <w:szCs w:val="20"/>
        </w:rPr>
        <w:t xml:space="preserve">Tests blancs si possible (CV anonyme pour le tri initial).</w:t>
      </w:r>
    </w:p>
    <w:p>
      <w:pPr>
        <w:pStyle w:val="ListParagraph"/>
        <w:numPr>
          <w:ilvl w:val="0"/>
          <w:numId w:val="2"/>
        </w:numPr>
        <w:spacing w:after="60" w:line="260"/>
      </w:pPr>
      <w:r>
        <w:rPr>
          <w:rFonts w:ascii="Calibri" w:cs="Calibri" w:eastAsia="Calibri" w:hAnsi="Calibri"/>
          <w:sz w:val="20"/>
          <w:szCs w:val="20"/>
        </w:rPr>
        <w:t xml:space="preserve">Cible parité H/F minimum 40 % An 1 → 45-55 % An 3.</w:t>
      </w:r>
    </w:p>
    <w:p>
      <w:pPr>
        <w:pStyle w:val="ListParagraph"/>
        <w:numPr>
          <w:ilvl w:val="0"/>
          <w:numId w:val="2"/>
        </w:numPr>
        <w:spacing w:after="60" w:line="260"/>
      </w:pPr>
      <w:r>
        <w:rPr>
          <w:rFonts w:ascii="Calibri" w:cs="Calibri" w:eastAsia="Calibri" w:hAnsi="Calibri"/>
          <w:sz w:val="20"/>
          <w:szCs w:val="20"/>
        </w:rPr>
        <w:t xml:space="preserve">Cible recrutements personnes en situation de handicap : ≥ 6 % à terme (obligation légale ≥ 11 salariés).</w:t>
      </w:r>
    </w:p>
    <w:p>
      <w:pPr>
        <w:spacing w:after="100" w:before="220"/>
      </w:pPr>
      <w:r>
        <w:rPr>
          <w:rFonts w:ascii="Calibri" w:cs="Calibri" w:eastAsia="Calibri" w:hAnsi="Calibri"/>
          <w:b/>
          <w:bCs/>
          <w:color w:val="E87722"/>
          <w:sz w:val="22"/>
          <w:szCs w:val="22"/>
        </w:rPr>
        <w:t xml:space="preserve">3.2. Carrière et rémunération</w:t>
      </w:r>
    </w:p>
    <w:p>
      <w:pPr>
        <w:pStyle w:val="ListParagraph"/>
        <w:numPr>
          <w:ilvl w:val="0"/>
          <w:numId w:val="2"/>
        </w:numPr>
        <w:spacing w:after="60" w:line="260"/>
      </w:pPr>
      <w:r>
        <w:rPr>
          <w:rFonts w:ascii="Calibri" w:cs="Calibri" w:eastAsia="Calibri" w:hAnsi="Calibri"/>
          <w:sz w:val="20"/>
          <w:szCs w:val="20"/>
        </w:rPr>
        <w:t xml:space="preserve">Égalité salariale stricte (analyse annuelle des écarts H/F).</w:t>
      </w:r>
    </w:p>
    <w:p>
      <w:pPr>
        <w:pStyle w:val="ListParagraph"/>
        <w:numPr>
          <w:ilvl w:val="0"/>
          <w:numId w:val="2"/>
        </w:numPr>
        <w:spacing w:after="60" w:line="260"/>
      </w:pPr>
      <w:r>
        <w:rPr>
          <w:rFonts w:ascii="Calibri" w:cs="Calibri" w:eastAsia="Calibri" w:hAnsi="Calibri"/>
          <w:sz w:val="20"/>
          <w:szCs w:val="20"/>
        </w:rPr>
        <w:t xml:space="preserve">Refus de l'écart de salaire à compétences et expérience égales.</w:t>
      </w:r>
    </w:p>
    <w:p>
      <w:pPr>
        <w:pStyle w:val="ListParagraph"/>
        <w:numPr>
          <w:ilvl w:val="0"/>
          <w:numId w:val="2"/>
        </w:numPr>
        <w:spacing w:after="60" w:line="260"/>
      </w:pPr>
      <w:r>
        <w:rPr>
          <w:rFonts w:ascii="Calibri" w:cs="Calibri" w:eastAsia="Calibri" w:hAnsi="Calibri"/>
          <w:sz w:val="20"/>
          <w:szCs w:val="20"/>
        </w:rPr>
        <w:t xml:space="preserve">Rapport max/min salaire ≤ 5 (engagement Charte télétravail).</w:t>
      </w:r>
    </w:p>
    <w:p>
      <w:pPr>
        <w:pStyle w:val="ListParagraph"/>
        <w:numPr>
          <w:ilvl w:val="0"/>
          <w:numId w:val="2"/>
        </w:numPr>
        <w:spacing w:after="60" w:line="260"/>
      </w:pPr>
      <w:r>
        <w:rPr>
          <w:rFonts w:ascii="Calibri" w:cs="Calibri" w:eastAsia="Calibri" w:hAnsi="Calibri"/>
          <w:sz w:val="20"/>
          <w:szCs w:val="20"/>
        </w:rPr>
        <w:t xml:space="preserve">Promotion interne sur compétences, pas sur affinités.</w:t>
      </w:r>
    </w:p>
    <w:p>
      <w:pPr>
        <w:pStyle w:val="ListParagraph"/>
        <w:numPr>
          <w:ilvl w:val="0"/>
          <w:numId w:val="2"/>
        </w:numPr>
        <w:spacing w:after="60" w:line="260"/>
      </w:pPr>
      <w:r>
        <w:rPr>
          <w:rFonts w:ascii="Calibri" w:cs="Calibri" w:eastAsia="Calibri" w:hAnsi="Calibri"/>
          <w:sz w:val="20"/>
          <w:szCs w:val="20"/>
        </w:rPr>
        <w:t xml:space="preserve">Égalité d'accès à la formation (cohérence Plan de formation interne).</w:t>
      </w:r>
    </w:p>
    <w:p>
      <w:pPr>
        <w:spacing w:after="100" w:before="220"/>
      </w:pPr>
      <w:r>
        <w:rPr>
          <w:rFonts w:ascii="Calibri" w:cs="Calibri" w:eastAsia="Calibri" w:hAnsi="Calibri"/>
          <w:b/>
          <w:bCs/>
          <w:color w:val="E87722"/>
          <w:sz w:val="22"/>
          <w:szCs w:val="22"/>
        </w:rPr>
        <w:t xml:space="preserve">3.3. Climat de travail</w:t>
      </w:r>
    </w:p>
    <w:p>
      <w:pPr>
        <w:pStyle w:val="ListParagraph"/>
        <w:numPr>
          <w:ilvl w:val="0"/>
          <w:numId w:val="2"/>
        </w:numPr>
        <w:spacing w:after="60" w:line="260"/>
      </w:pPr>
      <w:r>
        <w:rPr>
          <w:rFonts w:ascii="Calibri" w:cs="Calibri" w:eastAsia="Calibri" w:hAnsi="Calibri"/>
          <w:sz w:val="20"/>
          <w:szCs w:val="20"/>
        </w:rPr>
        <w:t xml:space="preserve">Référent harcèlement et discrimination dès le 1er salarié (au-delà de l'obligation légale 11 salariés).</w:t>
      </w:r>
    </w:p>
    <w:p>
      <w:pPr>
        <w:pStyle w:val="ListParagraph"/>
        <w:numPr>
          <w:ilvl w:val="0"/>
          <w:numId w:val="2"/>
        </w:numPr>
        <w:spacing w:after="60" w:line="260"/>
      </w:pPr>
      <w:r>
        <w:rPr>
          <w:rFonts w:ascii="Calibri" w:cs="Calibri" w:eastAsia="Calibri" w:hAnsi="Calibri"/>
          <w:sz w:val="20"/>
          <w:szCs w:val="20"/>
        </w:rPr>
        <w:t xml:space="preserve">Procédure de signalement bienveillant (cohérence Procédure de signalement).</w:t>
      </w:r>
    </w:p>
    <w:p>
      <w:pPr>
        <w:pStyle w:val="ListParagraph"/>
        <w:numPr>
          <w:ilvl w:val="0"/>
          <w:numId w:val="2"/>
        </w:numPr>
        <w:spacing w:after="60" w:line="260"/>
      </w:pPr>
      <w:r>
        <w:rPr>
          <w:rFonts w:ascii="Calibri" w:cs="Calibri" w:eastAsia="Calibri" w:hAnsi="Calibri"/>
          <w:sz w:val="20"/>
          <w:szCs w:val="20"/>
        </w:rPr>
        <w:t xml:space="preserve">Confidentialité absolue des signalements.</w:t>
      </w:r>
    </w:p>
    <w:p>
      <w:pPr>
        <w:pStyle w:val="ListParagraph"/>
        <w:numPr>
          <w:ilvl w:val="0"/>
          <w:numId w:val="2"/>
        </w:numPr>
        <w:spacing w:after="60" w:line="260"/>
      </w:pPr>
      <w:r>
        <w:rPr>
          <w:rFonts w:ascii="Calibri" w:cs="Calibri" w:eastAsia="Calibri" w:hAnsi="Calibri"/>
          <w:sz w:val="20"/>
          <w:szCs w:val="20"/>
        </w:rPr>
        <w:t xml:space="preserve">Sanctions claires et appliquées en cas de comportement discriminant.</w:t>
      </w:r>
    </w:p>
    <w:p>
      <w:pPr>
        <w:pStyle w:val="ListParagraph"/>
        <w:numPr>
          <w:ilvl w:val="0"/>
          <w:numId w:val="2"/>
        </w:numPr>
        <w:spacing w:after="60" w:line="260"/>
      </w:pPr>
      <w:r>
        <w:rPr>
          <w:rFonts w:ascii="Calibri" w:cs="Calibri" w:eastAsia="Calibri" w:hAnsi="Calibri"/>
          <w:sz w:val="20"/>
          <w:szCs w:val="20"/>
        </w:rPr>
        <w:t xml:space="preserve">Sensibilisation annuelle (cohérence Plan de formation interne).</w:t>
      </w:r>
    </w:p>
    <w:p>
      <w:pPr>
        <w:spacing w:after="160" w:before="240"/>
      </w:pPr>
      <w:r>
        <w:rPr>
          <w:rFonts w:ascii="Calibri" w:cs="Calibri" w:eastAsia="Calibri" w:hAnsi="Calibri"/>
          <w:b/>
          <w:bCs/>
          <w:color w:val="1F4E79"/>
          <w:sz w:val="32"/>
          <w:szCs w:val="32"/>
        </w:rPr>
        <w:t xml:space="preserve">4. Engagements voyageurs</w:t>
      </w:r>
    </w:p>
    <w:p>
      <w:pPr>
        <w:spacing w:after="100" w:before="220"/>
      </w:pPr>
      <w:r>
        <w:rPr>
          <w:rFonts w:ascii="Calibri" w:cs="Calibri" w:eastAsia="Calibri" w:hAnsi="Calibri"/>
          <w:b/>
          <w:bCs/>
          <w:color w:val="E87722"/>
          <w:sz w:val="22"/>
          <w:szCs w:val="22"/>
        </w:rPr>
        <w:t xml:space="preserve">4.1. Accueil</w:t>
      </w:r>
    </w:p>
    <w:p>
      <w:pPr>
        <w:pStyle w:val="ListParagraph"/>
        <w:numPr>
          <w:ilvl w:val="0"/>
          <w:numId w:val="2"/>
        </w:numPr>
        <w:spacing w:after="60" w:line="260"/>
      </w:pPr>
      <w:r>
        <w:rPr>
          <w:rFonts w:ascii="Calibri" w:cs="Calibri" w:eastAsia="Calibri" w:hAnsi="Calibri"/>
          <w:sz w:val="20"/>
          <w:szCs w:val="20"/>
        </w:rPr>
        <w:t xml:space="preserve">Aucun voyageur refusé en raison d'un critère discriminatoire.</w:t>
      </w:r>
    </w:p>
    <w:p>
      <w:pPr>
        <w:pStyle w:val="ListParagraph"/>
        <w:numPr>
          <w:ilvl w:val="0"/>
          <w:numId w:val="2"/>
        </w:numPr>
        <w:spacing w:after="60" w:line="260"/>
      </w:pPr>
      <w:r>
        <w:rPr>
          <w:rFonts w:ascii="Calibri" w:cs="Calibri" w:eastAsia="Calibri" w:hAnsi="Calibri"/>
          <w:sz w:val="20"/>
          <w:szCs w:val="20"/>
        </w:rPr>
        <w:t xml:space="preserve">Refus de la sélection à l'entrée (sauf nécessité opérationnelle absolue justifiée).</w:t>
      </w:r>
    </w:p>
    <w:p>
      <w:pPr>
        <w:pStyle w:val="ListParagraph"/>
        <w:numPr>
          <w:ilvl w:val="0"/>
          <w:numId w:val="2"/>
        </w:numPr>
        <w:spacing w:after="60" w:line="260"/>
      </w:pPr>
      <w:r>
        <w:rPr>
          <w:rFonts w:ascii="Calibri" w:cs="Calibri" w:eastAsia="Calibri" w:hAnsi="Calibri"/>
          <w:sz w:val="20"/>
          <w:szCs w:val="20"/>
        </w:rPr>
        <w:t xml:space="preserve">Accompagnateur formé à l'accueil de la diversité.</w:t>
      </w:r>
    </w:p>
    <w:p>
      <w:pPr>
        <w:spacing w:after="100" w:before="220"/>
      </w:pPr>
      <w:r>
        <w:rPr>
          <w:rFonts w:ascii="Calibri" w:cs="Calibri" w:eastAsia="Calibri" w:hAnsi="Calibri"/>
          <w:b/>
          <w:bCs/>
          <w:color w:val="E87722"/>
          <w:sz w:val="22"/>
          <w:szCs w:val="22"/>
        </w:rPr>
        <w:t xml:space="preserve">4.2. Accessibilité</w:t>
      </w:r>
    </w:p>
    <w:p>
      <w:pPr>
        <w:pStyle w:val="ListParagraph"/>
        <w:numPr>
          <w:ilvl w:val="0"/>
          <w:numId w:val="2"/>
        </w:numPr>
        <w:spacing w:after="60" w:line="260"/>
      </w:pPr>
      <w:r>
        <w:rPr>
          <w:rFonts w:ascii="Calibri" w:cs="Calibri" w:eastAsia="Calibri" w:hAnsi="Calibri"/>
          <w:sz w:val="20"/>
          <w:szCs w:val="20"/>
        </w:rPr>
        <w:t xml:space="preserve">Cohérence avec Politique accessibilité PMR (engagements détaillés).</w:t>
      </w:r>
    </w:p>
    <w:p>
      <w:pPr>
        <w:pStyle w:val="ListParagraph"/>
        <w:numPr>
          <w:ilvl w:val="0"/>
          <w:numId w:val="2"/>
        </w:numPr>
        <w:spacing w:after="60" w:line="260"/>
      </w:pPr>
      <w:r>
        <w:rPr>
          <w:rFonts w:ascii="Calibri" w:cs="Calibri" w:eastAsia="Calibri" w:hAnsi="Calibri"/>
          <w:sz w:val="20"/>
          <w:szCs w:val="20"/>
        </w:rPr>
        <w:t xml:space="preserve">Cohérence avec Plan accessibilité numérique (WCAG 2.1 AA).</w:t>
      </w:r>
    </w:p>
    <w:p>
      <w:pPr>
        <w:pStyle w:val="ListParagraph"/>
        <w:numPr>
          <w:ilvl w:val="0"/>
          <w:numId w:val="2"/>
        </w:numPr>
        <w:spacing w:after="60" w:line="260"/>
      </w:pPr>
      <w:r>
        <w:rPr>
          <w:rFonts w:ascii="Calibri" w:cs="Calibri" w:eastAsia="Calibri" w:hAnsi="Calibri"/>
          <w:sz w:val="20"/>
          <w:szCs w:val="20"/>
        </w:rPr>
        <w:t xml:space="preserve">Information précontractuelle sur le niveau d'accessibilité de chaque voyage.</w:t>
      </w:r>
    </w:p>
    <w:p>
      <w:pPr>
        <w:spacing w:after="100" w:before="220"/>
      </w:pPr>
      <w:r>
        <w:rPr>
          <w:rFonts w:ascii="Calibri" w:cs="Calibri" w:eastAsia="Calibri" w:hAnsi="Calibri"/>
          <w:b/>
          <w:bCs/>
          <w:color w:val="E87722"/>
          <w:sz w:val="22"/>
          <w:szCs w:val="22"/>
        </w:rPr>
        <w:t xml:space="preserve">4.3. Tarification</w:t>
      </w:r>
    </w:p>
    <w:p>
      <w:pPr>
        <w:pStyle w:val="ListParagraph"/>
        <w:numPr>
          <w:ilvl w:val="0"/>
          <w:numId w:val="2"/>
        </w:numPr>
        <w:spacing w:after="60" w:line="260"/>
      </w:pPr>
      <w:r>
        <w:rPr>
          <w:rFonts w:ascii="Calibri" w:cs="Calibri" w:eastAsia="Calibri" w:hAnsi="Calibri"/>
          <w:sz w:val="20"/>
          <w:szCs w:val="20"/>
        </w:rPr>
        <w:t xml:space="preserve">Aucun surcoût pour critère discriminatoire (handicap, animal d'assistance, etc.).</w:t>
      </w:r>
    </w:p>
    <w:p>
      <w:pPr>
        <w:pStyle w:val="ListParagraph"/>
        <w:numPr>
          <w:ilvl w:val="0"/>
          <w:numId w:val="2"/>
        </w:numPr>
        <w:spacing w:after="60" w:line="260"/>
      </w:pPr>
      <w:r>
        <w:rPr>
          <w:rFonts w:ascii="Calibri" w:cs="Calibri" w:eastAsia="Calibri" w:hAnsi="Calibri"/>
          <w:sz w:val="20"/>
          <w:szCs w:val="20"/>
        </w:rPr>
        <w:t xml:space="preserve">Acceptation chèques ANCV (cohérence Politique RSE — cible An 2).</w:t>
      </w:r>
    </w:p>
    <w:p>
      <w:pPr>
        <w:pStyle w:val="ListParagraph"/>
        <w:numPr>
          <w:ilvl w:val="0"/>
          <w:numId w:val="2"/>
        </w:numPr>
        <w:spacing w:after="60" w:line="260"/>
      </w:pPr>
      <w:r>
        <w:rPr>
          <w:rFonts w:ascii="Calibri" w:cs="Calibri" w:eastAsia="Calibri" w:hAnsi="Calibri"/>
          <w:sz w:val="20"/>
          <w:szCs w:val="20"/>
        </w:rPr>
        <w:t xml:space="preserve">Possibilité de paiement en plusieurs fois sans frais.</w:t>
      </w:r>
    </w:p>
    <w:p>
      <w:pPr>
        <w:spacing w:after="100" w:before="220"/>
      </w:pPr>
      <w:r>
        <w:rPr>
          <w:rFonts w:ascii="Calibri" w:cs="Calibri" w:eastAsia="Calibri" w:hAnsi="Calibri"/>
          <w:b/>
          <w:bCs/>
          <w:color w:val="E87722"/>
          <w:sz w:val="22"/>
          <w:szCs w:val="22"/>
        </w:rPr>
        <w:t xml:space="preserve">4.4. Représentation</w:t>
      </w:r>
    </w:p>
    <w:p>
      <w:pPr>
        <w:pStyle w:val="ListParagraph"/>
        <w:numPr>
          <w:ilvl w:val="0"/>
          <w:numId w:val="2"/>
        </w:numPr>
        <w:spacing w:after="60" w:line="260"/>
      </w:pPr>
      <w:r>
        <w:rPr>
          <w:rFonts w:ascii="Calibri" w:cs="Calibri" w:eastAsia="Calibri" w:hAnsi="Calibri"/>
          <w:sz w:val="20"/>
          <w:szCs w:val="20"/>
        </w:rPr>
        <w:t xml:space="preserve">Photos et vidéos communication reflétant la diversité réelle des voyageurs.</w:t>
      </w:r>
    </w:p>
    <w:p>
      <w:pPr>
        <w:pStyle w:val="ListParagraph"/>
        <w:numPr>
          <w:ilvl w:val="0"/>
          <w:numId w:val="2"/>
        </w:numPr>
        <w:spacing w:after="60" w:line="260"/>
      </w:pPr>
      <w:r>
        <w:rPr>
          <w:rFonts w:ascii="Calibri" w:cs="Calibri" w:eastAsia="Calibri" w:hAnsi="Calibri"/>
          <w:sz w:val="20"/>
          <w:szCs w:val="20"/>
        </w:rPr>
        <w:t xml:space="preserve">Témoignages de profils variés (avec accord — cohérence Politique image).</w:t>
      </w:r>
    </w:p>
    <w:p>
      <w:pPr>
        <w:pStyle w:val="ListParagraph"/>
        <w:numPr>
          <w:ilvl w:val="0"/>
          <w:numId w:val="2"/>
        </w:numPr>
        <w:spacing w:after="60" w:line="260"/>
      </w:pPr>
      <w:r>
        <w:rPr>
          <w:rFonts w:ascii="Calibri" w:cs="Calibri" w:eastAsia="Calibri" w:hAnsi="Calibri"/>
          <w:sz w:val="20"/>
          <w:szCs w:val="20"/>
        </w:rPr>
        <w:t xml:space="preserve">Refus du marketing stéréotypé (« le voyage senior », « le voyage jeune »).</w:t>
      </w:r>
    </w:p>
    <w:p>
      <w:pPr>
        <w:spacing w:after="160" w:before="240"/>
      </w:pPr>
      <w:r>
        <w:rPr>
          <w:rFonts w:ascii="Calibri" w:cs="Calibri" w:eastAsia="Calibri" w:hAnsi="Calibri"/>
          <w:b/>
          <w:bCs/>
          <w:color w:val="1F4E79"/>
          <w:sz w:val="32"/>
          <w:szCs w:val="32"/>
        </w:rPr>
        <w:t xml:space="preserve">5. Engagements partenaires</w:t>
      </w:r>
    </w:p>
    <w:p>
      <w:pPr>
        <w:pStyle w:val="ListParagraph"/>
        <w:numPr>
          <w:ilvl w:val="0"/>
          <w:numId w:val="2"/>
        </w:numPr>
        <w:spacing w:after="60" w:line="260"/>
      </w:pPr>
      <w:r>
        <w:rPr>
          <w:rFonts w:ascii="Calibri" w:cs="Calibri" w:eastAsia="Calibri" w:hAnsi="Calibri"/>
          <w:sz w:val="20"/>
          <w:szCs w:val="20"/>
        </w:rPr>
        <w:t xml:space="preserve">Égalité de traitement de tous les partenaires HRA, créateurs, vendeurs, ambassadeurs.</w:t>
      </w:r>
    </w:p>
    <w:p>
      <w:pPr>
        <w:pStyle w:val="ListParagraph"/>
        <w:numPr>
          <w:ilvl w:val="0"/>
          <w:numId w:val="2"/>
        </w:numPr>
        <w:spacing w:after="60" w:line="260"/>
      </w:pPr>
      <w:r>
        <w:rPr>
          <w:rFonts w:ascii="Calibri" w:cs="Calibri" w:eastAsia="Calibri" w:hAnsi="Calibri"/>
          <w:sz w:val="20"/>
          <w:szCs w:val="20"/>
        </w:rPr>
        <w:t xml:space="preserve">Refus du favoritisme (cohérence Politique conflits d'intérêts).</w:t>
      </w:r>
    </w:p>
    <w:p>
      <w:pPr>
        <w:pStyle w:val="ListParagraph"/>
        <w:numPr>
          <w:ilvl w:val="0"/>
          <w:numId w:val="2"/>
        </w:numPr>
        <w:spacing w:after="60" w:line="260"/>
      </w:pPr>
      <w:r>
        <w:rPr>
          <w:rFonts w:ascii="Calibri" w:cs="Calibri" w:eastAsia="Calibri" w:hAnsi="Calibri"/>
          <w:sz w:val="20"/>
          <w:szCs w:val="20"/>
        </w:rPr>
        <w:t xml:space="preserve">Critères objectifs et publics pour le référencement (cohérence Procédure d'audit qualité HRA).</w:t>
      </w:r>
    </w:p>
    <w:p>
      <w:pPr>
        <w:pStyle w:val="ListParagraph"/>
        <w:numPr>
          <w:ilvl w:val="0"/>
          <w:numId w:val="2"/>
        </w:numPr>
        <w:spacing w:after="60" w:line="260"/>
      </w:pPr>
      <w:r>
        <w:rPr>
          <w:rFonts w:ascii="Calibri" w:cs="Calibri" w:eastAsia="Calibri" w:hAnsi="Calibri"/>
          <w:sz w:val="20"/>
          <w:szCs w:val="20"/>
        </w:rPr>
        <w:t xml:space="preserve">Refus du dumping social via prestataires (cohérence Politique d'achats responsables).</w:t>
      </w:r>
    </w:p>
    <w:p>
      <w:pPr>
        <w:spacing w:after="160" w:before="240"/>
      </w:pPr>
      <w:r>
        <w:rPr>
          <w:rFonts w:ascii="Calibri" w:cs="Calibri" w:eastAsia="Calibri" w:hAnsi="Calibri"/>
          <w:b/>
          <w:bCs/>
          <w:color w:val="1F4E79"/>
          <w:sz w:val="32"/>
          <w:szCs w:val="32"/>
        </w:rPr>
        <w:t xml:space="preserve">6. Représentation et inclusion dans les contenus</w:t>
      </w:r>
    </w:p>
    <w:p>
      <w:pPr>
        <w:spacing w:after="100" w:before="220"/>
      </w:pPr>
      <w:r>
        <w:rPr>
          <w:rFonts w:ascii="Calibri" w:cs="Calibri" w:eastAsia="Calibri" w:hAnsi="Calibri"/>
          <w:b/>
          <w:bCs/>
          <w:color w:val="E87722"/>
          <w:sz w:val="22"/>
          <w:szCs w:val="22"/>
        </w:rPr>
        <w:t xml:space="preserve">6.1. Communication</w:t>
      </w:r>
    </w:p>
    <w:p>
      <w:pPr>
        <w:pStyle w:val="ListParagraph"/>
        <w:numPr>
          <w:ilvl w:val="0"/>
          <w:numId w:val="2"/>
        </w:numPr>
        <w:spacing w:after="60" w:line="260"/>
      </w:pPr>
      <w:r>
        <w:rPr>
          <w:rFonts w:ascii="Calibri" w:cs="Calibri" w:eastAsia="Calibri" w:hAnsi="Calibri"/>
          <w:sz w:val="20"/>
          <w:szCs w:val="20"/>
        </w:rPr>
        <w:t xml:space="preserve">Refus des stéréotypes (cohérence Charte éditoriale).</w:t>
      </w:r>
    </w:p>
    <w:p>
      <w:pPr>
        <w:pStyle w:val="ListParagraph"/>
        <w:numPr>
          <w:ilvl w:val="0"/>
          <w:numId w:val="2"/>
        </w:numPr>
        <w:spacing w:after="60" w:line="260"/>
      </w:pPr>
      <w:r>
        <w:rPr>
          <w:rFonts w:ascii="Calibri" w:cs="Calibri" w:eastAsia="Calibri" w:hAnsi="Calibri"/>
          <w:sz w:val="20"/>
          <w:szCs w:val="20"/>
        </w:rPr>
        <w:t xml:space="preserve">Visuels reflétant la diversité (âge, origines, morphologies, situations).</w:t>
      </w:r>
    </w:p>
    <w:p>
      <w:pPr>
        <w:pStyle w:val="ListParagraph"/>
        <w:numPr>
          <w:ilvl w:val="0"/>
          <w:numId w:val="2"/>
        </w:numPr>
        <w:spacing w:after="60" w:line="260"/>
      </w:pPr>
      <w:r>
        <w:rPr>
          <w:rFonts w:ascii="Calibri" w:cs="Calibri" w:eastAsia="Calibri" w:hAnsi="Calibri"/>
          <w:sz w:val="20"/>
          <w:szCs w:val="20"/>
        </w:rPr>
        <w:t xml:space="preserve">Langage épicène quand possible.</w:t>
      </w:r>
    </w:p>
    <w:p>
      <w:pPr>
        <w:pStyle w:val="ListParagraph"/>
        <w:numPr>
          <w:ilvl w:val="0"/>
          <w:numId w:val="2"/>
        </w:numPr>
        <w:spacing w:after="60" w:line="260"/>
      </w:pPr>
      <w:r>
        <w:rPr>
          <w:rFonts w:ascii="Calibri" w:cs="Calibri" w:eastAsia="Calibri" w:hAnsi="Calibri"/>
          <w:sz w:val="20"/>
          <w:szCs w:val="20"/>
        </w:rPr>
        <w:t xml:space="preserve">Refus de la « tokenisation » (mettre en avant uniquement à des fins de communication).</w:t>
      </w:r>
    </w:p>
    <w:p>
      <w:pPr>
        <w:spacing w:after="100" w:before="220"/>
      </w:pPr>
      <w:r>
        <w:rPr>
          <w:rFonts w:ascii="Calibri" w:cs="Calibri" w:eastAsia="Calibri" w:hAnsi="Calibri"/>
          <w:b/>
          <w:bCs/>
          <w:color w:val="E87722"/>
          <w:sz w:val="22"/>
          <w:szCs w:val="22"/>
        </w:rPr>
        <w:t xml:space="preserve">6.2. Catalogue voyages</w:t>
      </w:r>
    </w:p>
    <w:p>
      <w:pPr>
        <w:pStyle w:val="ListParagraph"/>
        <w:numPr>
          <w:ilvl w:val="0"/>
          <w:numId w:val="2"/>
        </w:numPr>
        <w:spacing w:after="60" w:line="260"/>
      </w:pPr>
      <w:r>
        <w:rPr>
          <w:rFonts w:ascii="Calibri" w:cs="Calibri" w:eastAsia="Calibri" w:hAnsi="Calibri"/>
          <w:sz w:val="20"/>
          <w:szCs w:val="20"/>
        </w:rPr>
        <w:t xml:space="preserve">Voyages adaptés à différents profils, budgets, capacités physiques.</w:t>
      </w:r>
    </w:p>
    <w:p>
      <w:pPr>
        <w:pStyle w:val="ListParagraph"/>
        <w:numPr>
          <w:ilvl w:val="0"/>
          <w:numId w:val="2"/>
        </w:numPr>
        <w:spacing w:after="60" w:line="260"/>
      </w:pPr>
      <w:r>
        <w:rPr>
          <w:rFonts w:ascii="Calibri" w:cs="Calibri" w:eastAsia="Calibri" w:hAnsi="Calibri"/>
          <w:sz w:val="20"/>
          <w:szCs w:val="20"/>
        </w:rPr>
        <w:t xml:space="preserve">Information transparente sur les contraintes.</w:t>
      </w:r>
    </w:p>
    <w:p>
      <w:pPr>
        <w:pStyle w:val="ListParagraph"/>
        <w:numPr>
          <w:ilvl w:val="0"/>
          <w:numId w:val="2"/>
        </w:numPr>
        <w:spacing w:after="60" w:line="260"/>
      </w:pPr>
      <w:r>
        <w:rPr>
          <w:rFonts w:ascii="Calibri" w:cs="Calibri" w:eastAsia="Calibri" w:hAnsi="Calibri"/>
          <w:sz w:val="20"/>
          <w:szCs w:val="20"/>
        </w:rPr>
        <w:t xml:space="preserve">Cohérence avec Grille de décision destinations (refus destinations contraires aux droits humains).</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Parité H/F équipe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Recrutements personnes en situation de handicap</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Écart salarial H/F (compétences égales)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harcèlement / discrimination internes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accessibles PMR fauteuil roulant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Diversité représentation contenus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Audité annuellement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Audité annuellement</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diversité équipe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8. Mesures et sanctions</w:t>
      </w:r>
    </w:p>
    <w:p>
      <w:pPr>
        <w:spacing w:after="100" w:before="220"/>
      </w:pPr>
      <w:r>
        <w:rPr>
          <w:rFonts w:ascii="Calibri" w:cs="Calibri" w:eastAsia="Calibri" w:hAnsi="Calibri"/>
          <w:b/>
          <w:bCs/>
          <w:color w:val="E87722"/>
          <w:sz w:val="22"/>
          <w:szCs w:val="22"/>
        </w:rPr>
        <w:t xml:space="preserve">8.1. Discrimination interne</w:t>
      </w:r>
    </w:p>
    <w:p>
      <w:pPr>
        <w:pStyle w:val="ListParagraph"/>
        <w:numPr>
          <w:ilvl w:val="0"/>
          <w:numId w:val="2"/>
        </w:numPr>
        <w:spacing w:after="60" w:line="260"/>
      </w:pPr>
      <w:r>
        <w:rPr>
          <w:rFonts w:ascii="Calibri" w:cs="Calibri" w:eastAsia="Calibri" w:hAnsi="Calibri"/>
          <w:sz w:val="20"/>
          <w:szCs w:val="20"/>
        </w:rPr>
        <w:t xml:space="preserve">Avertissement pour comportement inapproprié non intentionnel.</w:t>
      </w:r>
    </w:p>
    <w:p>
      <w:pPr>
        <w:pStyle w:val="ListParagraph"/>
        <w:numPr>
          <w:ilvl w:val="0"/>
          <w:numId w:val="2"/>
        </w:numPr>
        <w:spacing w:after="60" w:line="260"/>
      </w:pPr>
      <w:r>
        <w:rPr>
          <w:rFonts w:ascii="Calibri" w:cs="Calibri" w:eastAsia="Calibri" w:hAnsi="Calibri"/>
          <w:sz w:val="20"/>
          <w:szCs w:val="20"/>
        </w:rPr>
        <w:t xml:space="preserve">Mise à pied disciplinaire pour comportement répété.</w:t>
      </w:r>
    </w:p>
    <w:p>
      <w:pPr>
        <w:pStyle w:val="ListParagraph"/>
        <w:numPr>
          <w:ilvl w:val="0"/>
          <w:numId w:val="2"/>
        </w:numPr>
        <w:spacing w:after="60" w:line="260"/>
      </w:pPr>
      <w:r>
        <w:rPr>
          <w:rFonts w:ascii="Calibri" w:cs="Calibri" w:eastAsia="Calibri" w:hAnsi="Calibri"/>
          <w:sz w:val="20"/>
          <w:szCs w:val="20"/>
        </w:rPr>
        <w:t xml:space="preserve">Licenciement pour faute grave en cas de discrimination caractérisée.</w:t>
      </w:r>
    </w:p>
    <w:p>
      <w:pPr>
        <w:pStyle w:val="ListParagraph"/>
        <w:numPr>
          <w:ilvl w:val="0"/>
          <w:numId w:val="2"/>
        </w:numPr>
        <w:spacing w:after="60" w:line="260"/>
      </w:pPr>
      <w:r>
        <w:rPr>
          <w:rFonts w:ascii="Calibri" w:cs="Calibri" w:eastAsia="Calibri" w:hAnsi="Calibri"/>
          <w:sz w:val="20"/>
          <w:szCs w:val="20"/>
        </w:rPr>
        <w:t xml:space="preserve">Cohérence avec Procédure de signalement et Politique conflits d'intérêts.</w:t>
      </w:r>
    </w:p>
    <w:p>
      <w:pPr>
        <w:spacing w:after="100" w:before="220"/>
      </w:pPr>
      <w:r>
        <w:rPr>
          <w:rFonts w:ascii="Calibri" w:cs="Calibri" w:eastAsia="Calibri" w:hAnsi="Calibri"/>
          <w:b/>
          <w:bCs/>
          <w:color w:val="E87722"/>
          <w:sz w:val="22"/>
          <w:szCs w:val="22"/>
        </w:rPr>
        <w:t xml:space="preserve">8.2. Discrimination par partenaire</w:t>
      </w:r>
    </w:p>
    <w:p>
      <w:pPr>
        <w:pStyle w:val="ListParagraph"/>
        <w:numPr>
          <w:ilvl w:val="0"/>
          <w:numId w:val="2"/>
        </w:numPr>
        <w:spacing w:after="60" w:line="260"/>
      </w:pPr>
      <w:r>
        <w:rPr>
          <w:rFonts w:ascii="Calibri" w:cs="Calibri" w:eastAsia="Calibri" w:hAnsi="Calibri"/>
          <w:sz w:val="20"/>
          <w:szCs w:val="20"/>
        </w:rPr>
        <w:t xml:space="preserve">Avertissement et plan d'amélioration.</w:t>
      </w:r>
    </w:p>
    <w:p>
      <w:pPr>
        <w:pStyle w:val="ListParagraph"/>
        <w:numPr>
          <w:ilvl w:val="0"/>
          <w:numId w:val="2"/>
        </w:numPr>
        <w:spacing w:after="60" w:line="260"/>
      </w:pPr>
      <w:r>
        <w:rPr>
          <w:rFonts w:ascii="Calibri" w:cs="Calibri" w:eastAsia="Calibri" w:hAnsi="Calibri"/>
          <w:sz w:val="20"/>
          <w:szCs w:val="20"/>
        </w:rPr>
        <w:t xml:space="preserve">Suspension de la relation commerciale.</w:t>
      </w:r>
    </w:p>
    <w:p>
      <w:pPr>
        <w:pStyle w:val="ListParagraph"/>
        <w:numPr>
          <w:ilvl w:val="0"/>
          <w:numId w:val="2"/>
        </w:numPr>
        <w:spacing w:after="60" w:line="260"/>
      </w:pPr>
      <w:r>
        <w:rPr>
          <w:rFonts w:ascii="Calibri" w:cs="Calibri" w:eastAsia="Calibri" w:hAnsi="Calibri"/>
          <w:sz w:val="20"/>
          <w:szCs w:val="20"/>
        </w:rPr>
        <w:t xml:space="preserve">Résiliation immédiate en cas de discrimination caractérisée.</w:t>
      </w:r>
    </w:p>
    <w:p>
      <w:pPr>
        <w:spacing w:after="100" w:before="220"/>
      </w:pPr>
      <w:r>
        <w:rPr>
          <w:rFonts w:ascii="Calibri" w:cs="Calibri" w:eastAsia="Calibri" w:hAnsi="Calibri"/>
          <w:b/>
          <w:bCs/>
          <w:color w:val="E87722"/>
          <w:sz w:val="22"/>
          <w:szCs w:val="22"/>
        </w:rPr>
        <w:t xml:space="preserve">8.3. Recours pour les victimes</w:t>
      </w:r>
    </w:p>
    <w:p>
      <w:pPr>
        <w:pStyle w:val="ListParagraph"/>
        <w:numPr>
          <w:ilvl w:val="0"/>
          <w:numId w:val="2"/>
        </w:numPr>
        <w:spacing w:after="60" w:line="260"/>
      </w:pPr>
      <w:r>
        <w:rPr>
          <w:rFonts w:ascii="Calibri" w:cs="Calibri" w:eastAsia="Calibri" w:hAnsi="Calibri"/>
          <w:sz w:val="20"/>
          <w:szCs w:val="20"/>
        </w:rPr>
        <w:t xml:space="preserve">Signalement à : alerte@eventylife.fr (cohérence Procédure de signalement).</w:t>
      </w:r>
    </w:p>
    <w:p>
      <w:pPr>
        <w:pStyle w:val="ListParagraph"/>
        <w:numPr>
          <w:ilvl w:val="0"/>
          <w:numId w:val="2"/>
        </w:numPr>
        <w:spacing w:after="60" w:line="260"/>
      </w:pPr>
      <w:r>
        <w:rPr>
          <w:rFonts w:ascii="Calibri" w:cs="Calibri" w:eastAsia="Calibri" w:hAnsi="Calibri"/>
          <w:sz w:val="20"/>
          <w:szCs w:val="20"/>
        </w:rPr>
        <w:t xml:space="preserve">Référent harcèlement et discrimination.</w:t>
      </w:r>
    </w:p>
    <w:p>
      <w:pPr>
        <w:pStyle w:val="ListParagraph"/>
        <w:numPr>
          <w:ilvl w:val="0"/>
          <w:numId w:val="2"/>
        </w:numPr>
        <w:spacing w:after="60" w:line="260"/>
      </w:pPr>
      <w:r>
        <w:rPr>
          <w:rFonts w:ascii="Calibri" w:cs="Calibri" w:eastAsia="Calibri" w:hAnsi="Calibri"/>
          <w:sz w:val="20"/>
          <w:szCs w:val="20"/>
        </w:rPr>
        <w:t xml:space="preserve">Possibilité de saisine du Défenseur des droits.</w:t>
      </w:r>
    </w:p>
    <w:p>
      <w:pPr>
        <w:pStyle w:val="ListParagraph"/>
        <w:numPr>
          <w:ilvl w:val="0"/>
          <w:numId w:val="2"/>
        </w:numPr>
        <w:spacing w:after="60" w:line="260"/>
      </w:pPr>
      <w:r>
        <w:rPr>
          <w:rFonts w:ascii="Calibri" w:cs="Calibri" w:eastAsia="Calibri" w:hAnsi="Calibri"/>
          <w:sz w:val="20"/>
          <w:szCs w:val="20"/>
        </w:rPr>
        <w:t xml:space="preserve">Soutien juridique et psychologique.</w:t>
      </w:r>
    </w:p>
    <w:p>
      <w:pPr>
        <w:spacing w:after="160" w:before="240"/>
      </w:pPr>
      <w:r>
        <w:rPr>
          <w:rFonts w:ascii="Calibri" w:cs="Calibri" w:eastAsia="Calibri" w:hAnsi="Calibri"/>
          <w:b/>
          <w:bCs/>
          <w:color w:val="1F4E79"/>
          <w:sz w:val="32"/>
          <w:szCs w:val="32"/>
        </w:rPr>
        <w:t xml:space="preserve">9. Gouvernance</w:t>
      </w:r>
    </w:p>
    <w:p>
      <w:pPr>
        <w:pStyle w:val="ListParagraph"/>
        <w:numPr>
          <w:ilvl w:val="0"/>
          <w:numId w:val="2"/>
        </w:numPr>
        <w:spacing w:after="60" w:line="260"/>
      </w:pPr>
      <w:r>
        <w:rPr>
          <w:rFonts w:ascii="Calibri" w:cs="Calibri" w:eastAsia="Calibri" w:hAnsi="Calibri"/>
          <w:sz w:val="20"/>
          <w:szCs w:val="20"/>
        </w:rPr>
        <w:t xml:space="preserve">Référent inclusion et diversité : Président en An 1, recrutement An 2-3.</w:t>
      </w:r>
    </w:p>
    <w:p>
      <w:pPr>
        <w:pStyle w:val="ListParagraph"/>
        <w:numPr>
          <w:ilvl w:val="0"/>
          <w:numId w:val="2"/>
        </w:numPr>
        <w:spacing w:after="60" w:line="260"/>
      </w:pPr>
      <w:r>
        <w:rPr>
          <w:rFonts w:ascii="Calibri" w:cs="Calibri" w:eastAsia="Calibri" w:hAnsi="Calibri"/>
          <w:sz w:val="20"/>
          <w:szCs w:val="20"/>
        </w:rPr>
        <w:t xml:space="preserve">Comité diversité trimestriel (Président + référent + 1 collaborateur volontaire).</w:t>
      </w:r>
    </w:p>
    <w:p>
      <w:pPr>
        <w:pStyle w:val="ListParagraph"/>
        <w:numPr>
          <w:ilvl w:val="0"/>
          <w:numId w:val="2"/>
        </w:numPr>
        <w:spacing w:after="60" w:line="260"/>
      </w:pPr>
      <w:r>
        <w:rPr>
          <w:rFonts w:ascii="Calibri" w:cs="Calibri" w:eastAsia="Calibri" w:hAnsi="Calibri"/>
          <w:sz w:val="20"/>
          <w:szCs w:val="20"/>
        </w:rPr>
        <w:t xml:space="preserve">Reporting annuel public (cohérence Politique RSE).</w:t>
      </w:r>
    </w:p>
    <w:p>
      <w:pPr>
        <w:pStyle w:val="ListParagraph"/>
        <w:numPr>
          <w:ilvl w:val="0"/>
          <w:numId w:val="2"/>
        </w:numPr>
        <w:spacing w:after="60" w:line="260"/>
      </w:pPr>
      <w:r>
        <w:rPr>
          <w:rFonts w:ascii="Calibri" w:cs="Calibri" w:eastAsia="Calibri" w:hAnsi="Calibri"/>
          <w:sz w:val="20"/>
          <w:szCs w:val="20"/>
        </w:rPr>
        <w:t xml:space="preserve">Audit externe diversité tous les 3 ans (cible An 4).</w:t>
      </w:r>
    </w:p>
    <w:p>
      <w:pPr>
        <w:spacing w:after="160" w:before="240"/>
      </w:pPr>
      <w:r>
        <w:rPr>
          <w:rFonts w:ascii="Calibri" w:cs="Calibri" w:eastAsia="Calibri" w:hAnsi="Calibri"/>
          <w:b/>
          <w:bCs/>
          <w:color w:val="1F4E79"/>
          <w:sz w:val="32"/>
          <w:szCs w:val="32"/>
        </w:rPr>
        <w:t xml:space="preserve">10. Engagements opposables</w:t>
      </w:r>
    </w:p>
    <w:p>
      <w:pPr>
        <w:pStyle w:val="ListParagraph"/>
        <w:numPr>
          <w:ilvl w:val="0"/>
          <w:numId w:val="2"/>
        </w:numPr>
        <w:spacing w:after="60" w:line="260"/>
      </w:pPr>
      <w:r>
        <w:rPr>
          <w:rFonts w:ascii="Calibri" w:cs="Calibri" w:eastAsia="Calibri" w:hAnsi="Calibri"/>
          <w:sz w:val="20"/>
          <w:szCs w:val="20"/>
        </w:rPr>
        <w:t xml:space="preserve">Reporting annuel public des indicateurs.</w:t>
      </w:r>
    </w:p>
    <w:p>
      <w:pPr>
        <w:pStyle w:val="ListParagraph"/>
        <w:numPr>
          <w:ilvl w:val="0"/>
          <w:numId w:val="2"/>
        </w:numPr>
        <w:spacing w:after="60" w:line="260"/>
      </w:pPr>
      <w:r>
        <w:rPr>
          <w:rFonts w:ascii="Calibri" w:cs="Calibri" w:eastAsia="Calibri" w:hAnsi="Calibri"/>
          <w:sz w:val="20"/>
          <w:szCs w:val="20"/>
        </w:rPr>
        <w:t xml:space="preserve">Maintien de la parité H/F minimum 40 %.</w:t>
      </w:r>
    </w:p>
    <w:p>
      <w:pPr>
        <w:pStyle w:val="ListParagraph"/>
        <w:numPr>
          <w:ilvl w:val="0"/>
          <w:numId w:val="2"/>
        </w:numPr>
        <w:spacing w:after="60" w:line="260"/>
      </w:pPr>
      <w:r>
        <w:rPr>
          <w:rFonts w:ascii="Calibri" w:cs="Calibri" w:eastAsia="Calibri" w:hAnsi="Calibri"/>
          <w:sz w:val="20"/>
          <w:szCs w:val="20"/>
        </w:rPr>
        <w:t xml:space="preserve">Recrutement progressif des personnes en situation de handicap (≥ 6 % à terme).</w:t>
      </w:r>
    </w:p>
    <w:p>
      <w:pPr>
        <w:pStyle w:val="ListParagraph"/>
        <w:numPr>
          <w:ilvl w:val="0"/>
          <w:numId w:val="2"/>
        </w:numPr>
        <w:spacing w:after="60" w:line="260"/>
      </w:pPr>
      <w:r>
        <w:rPr>
          <w:rFonts w:ascii="Calibri" w:cs="Calibri" w:eastAsia="Calibri" w:hAnsi="Calibri"/>
          <w:sz w:val="20"/>
          <w:szCs w:val="20"/>
        </w:rPr>
        <w:t xml:space="preserve">Refus de toute pratique discriminatoire en interne et chez nos partenaires.</w:t>
      </w:r>
    </w:p>
    <w:p>
      <w:pPr>
        <w:pStyle w:val="ListParagraph"/>
        <w:numPr>
          <w:ilvl w:val="0"/>
          <w:numId w:val="2"/>
        </w:numPr>
        <w:spacing w:after="60" w:line="260"/>
      </w:pPr>
      <w:r>
        <w:rPr>
          <w:rFonts w:ascii="Calibri" w:cs="Calibri" w:eastAsia="Calibri" w:hAnsi="Calibri"/>
          <w:sz w:val="20"/>
          <w:szCs w:val="20"/>
        </w:rPr>
        <w:t xml:space="preserve">Sanction immédiate des comportements caractérisés.</w:t>
      </w:r>
    </w:p>
    <w:p>
      <w:pPr>
        <w:pStyle w:val="ListParagraph"/>
        <w:numPr>
          <w:ilvl w:val="0"/>
          <w:numId w:val="2"/>
        </w:numPr>
        <w:spacing w:after="60" w:line="260"/>
      </w:pPr>
      <w:r>
        <w:rPr>
          <w:rFonts w:ascii="Calibri" w:cs="Calibri" w:eastAsia="Calibri" w:hAnsi="Calibri"/>
          <w:sz w:val="20"/>
          <w:szCs w:val="20"/>
        </w:rPr>
        <w:t xml:space="preserve">Refus du performatif — actions concrètes prioritaires.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RSE, Procédure de recrutement, Politique accessibilité PMR, Plan d'accessibilité numérique, Charte télétravail, Procédure de signalement, Politique conflits d'intérêts, Charte éditoriale, Grille de décision destinations, Politique d'achats responsables.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inclusion et diversité</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d'inclusion et diversité</dc:title>
  <dc:creator>David Eventy — Eventy Life SAS</dc:creator>
  <dc:description>Engagements pour une équipe et une communauté ouvertes.</dc:description>
  <cp:lastModifiedBy>Un-named</cp:lastModifiedBy>
  <cp:revision>1</cp:revision>
  <dcterms:created xsi:type="dcterms:W3CDTF">2026-05-02T04:08:00.200Z</dcterms:created>
  <dcterms:modified xsi:type="dcterms:W3CDTF">2026-05-02T04:08:00.201Z</dcterms:modified>
</cp:coreProperties>
</file>

<file path=docProps/custom.xml><?xml version="1.0" encoding="utf-8"?>
<Properties xmlns="http://schemas.openxmlformats.org/officeDocument/2006/custom-properties" xmlns:vt="http://schemas.openxmlformats.org/officeDocument/2006/docPropsVTypes"/>
</file>