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DE GESTION D'ÉVÉNEMENTS EVENTY</w:t>
            </w:r>
          </w:p>
          <w:p>
            <w:pPr>
              <w:spacing w:after="0"/>
              <w:jc w:val="center"/>
            </w:pPr>
            <w:r>
              <w:rPr>
                <w:rFonts w:ascii="Calibri" w:cs="Calibri" w:eastAsia="Calibri" w:hAnsi="Calibri"/>
                <w:i/>
                <w:iCs/>
                <w:color w:val="1F4E79"/>
                <w:sz w:val="18"/>
                <w:szCs w:val="18"/>
              </w:rPr>
              <w:t xml:space="preserve">Anniversaires, lancements, soirées et présence salons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la stratégie d'EVENTY LIFE SAS en matière d'événements. Il couvre les événements internes (équipe, partenaires), les événements communautaires (voyageurs Eventy Famille), les événements commerciaux et institutionnels (salons, conférences). Il complète la Stratégie de relations presse, la Stratégie réseaux sociaux et la Charte télétravail.</w:t>
      </w:r>
    </w:p>
    <w:p>
      <w:pPr>
        <w:spacing w:after="100" w:line="280"/>
        <w:jc w:val="both"/>
      </w:pPr>
      <w:r>
        <w:rPr>
          <w:rFonts w:ascii="Calibri" w:cs="Calibri" w:eastAsia="Calibri" w:hAnsi="Calibri"/>
          <w:i/>
          <w:iCs/>
          <w:color w:val="1A1A1A"/>
          <w:sz w:val="20"/>
          <w:szCs w:val="20"/>
        </w:rPr>
        <w:t xml:space="preserve">Pour Eventy, un événement n'est pas juste une opération marketing. C'est un temps de rassemblement aligné sur l'âme du projet (chaleur, simplicité, rencontre humaine). Nous privilégions le qualitatif et le sens, pas le clinquant.</w:t>
      </w:r>
    </w:p>
    <w:p>
      <w:pPr>
        <w:spacing w:after="160" w:before="240"/>
      </w:pPr>
      <w:r>
        <w:rPr>
          <w:rFonts w:ascii="Calibri" w:cs="Calibri" w:eastAsia="Calibri" w:hAnsi="Calibri"/>
          <w:b/>
          <w:bCs/>
          <w:color w:val="1F4E79"/>
          <w:sz w:val="32"/>
          <w:szCs w:val="32"/>
        </w:rPr>
        <w:t xml:space="preserve">1. Typologie d'événements</w:t>
      </w:r>
    </w:p>
    <w:p>
      <w:pPr>
        <w:spacing w:after="100" w:before="220"/>
      </w:pPr>
      <w:r>
        <w:rPr>
          <w:rFonts w:ascii="Calibri" w:cs="Calibri" w:eastAsia="Calibri" w:hAnsi="Calibri"/>
          <w:b/>
          <w:bCs/>
          <w:color w:val="E87722"/>
          <w:sz w:val="22"/>
          <w:szCs w:val="22"/>
        </w:rPr>
        <w:t xml:space="preserve">1.1. Événements internes (équipe)</w:t>
      </w:r>
    </w:p>
    <w:p>
      <w:pPr>
        <w:pStyle w:val="ListParagraph"/>
        <w:numPr>
          <w:ilvl w:val="0"/>
          <w:numId w:val="2"/>
        </w:numPr>
        <w:spacing w:after="60" w:line="260"/>
      </w:pPr>
      <w:r>
        <w:rPr>
          <w:rFonts w:ascii="Calibri" w:cs="Calibri" w:eastAsia="Calibri" w:hAnsi="Calibri"/>
          <w:sz w:val="20"/>
          <w:szCs w:val="20"/>
        </w:rPr>
        <w:t xml:space="preserve">Mardi de l'équipe (hebdomadaire — cohérence Charte télétravail).</w:t>
      </w:r>
    </w:p>
    <w:p>
      <w:pPr>
        <w:pStyle w:val="ListParagraph"/>
        <w:numPr>
          <w:ilvl w:val="0"/>
          <w:numId w:val="2"/>
        </w:numPr>
        <w:spacing w:after="60" w:line="260"/>
      </w:pPr>
      <w:r>
        <w:rPr>
          <w:rFonts w:ascii="Calibri" w:cs="Calibri" w:eastAsia="Calibri" w:hAnsi="Calibri"/>
          <w:sz w:val="20"/>
          <w:szCs w:val="20"/>
        </w:rPr>
        <w:t xml:space="preserve">Séminaires trimestriels (1-2 jours, hors locaux Eventy).</w:t>
      </w:r>
    </w:p>
    <w:p>
      <w:pPr>
        <w:pStyle w:val="ListParagraph"/>
        <w:numPr>
          <w:ilvl w:val="0"/>
          <w:numId w:val="2"/>
        </w:numPr>
        <w:spacing w:after="60" w:line="260"/>
      </w:pPr>
      <w:r>
        <w:rPr>
          <w:rFonts w:ascii="Calibri" w:cs="Calibri" w:eastAsia="Calibri" w:hAnsi="Calibri"/>
          <w:sz w:val="20"/>
          <w:szCs w:val="20"/>
        </w:rPr>
        <w:t xml:space="preserve">Soirée d'équipe trimestrielle (restaurant, activité).</w:t>
      </w:r>
    </w:p>
    <w:p>
      <w:pPr>
        <w:pStyle w:val="ListParagraph"/>
        <w:numPr>
          <w:ilvl w:val="0"/>
          <w:numId w:val="2"/>
        </w:numPr>
        <w:spacing w:after="60" w:line="260"/>
      </w:pPr>
      <w:r>
        <w:rPr>
          <w:rFonts w:ascii="Calibri" w:cs="Calibri" w:eastAsia="Calibri" w:hAnsi="Calibri"/>
          <w:sz w:val="20"/>
          <w:szCs w:val="20"/>
        </w:rPr>
        <w:t xml:space="preserve">Anniversaire d'embauche (gâteau, mot Président).</w:t>
      </w:r>
    </w:p>
    <w:p>
      <w:pPr>
        <w:pStyle w:val="ListParagraph"/>
        <w:numPr>
          <w:ilvl w:val="0"/>
          <w:numId w:val="2"/>
        </w:numPr>
        <w:spacing w:after="60" w:line="260"/>
      </w:pPr>
      <w:r>
        <w:rPr>
          <w:rFonts w:ascii="Calibri" w:cs="Calibri" w:eastAsia="Calibri" w:hAnsi="Calibri"/>
          <w:sz w:val="20"/>
          <w:szCs w:val="20"/>
        </w:rPr>
        <w:t xml:space="preserve">Onboarding nouveau collaborateur (cohérence Procédure de recrutement).</w:t>
      </w:r>
    </w:p>
    <w:p>
      <w:pPr>
        <w:spacing w:after="100" w:before="220"/>
      </w:pPr>
      <w:r>
        <w:rPr>
          <w:rFonts w:ascii="Calibri" w:cs="Calibri" w:eastAsia="Calibri" w:hAnsi="Calibri"/>
          <w:b/>
          <w:bCs/>
          <w:color w:val="E87722"/>
          <w:sz w:val="22"/>
          <w:szCs w:val="22"/>
        </w:rPr>
        <w:t xml:space="preserve">1.2. Événements partenaires</w:t>
      </w:r>
    </w:p>
    <w:p>
      <w:pPr>
        <w:pStyle w:val="ListParagraph"/>
        <w:numPr>
          <w:ilvl w:val="0"/>
          <w:numId w:val="2"/>
        </w:numPr>
        <w:spacing w:after="60" w:line="260"/>
      </w:pPr>
      <w:r>
        <w:rPr>
          <w:rFonts w:ascii="Calibri" w:cs="Calibri" w:eastAsia="Calibri" w:hAnsi="Calibri"/>
          <w:sz w:val="20"/>
          <w:szCs w:val="20"/>
        </w:rPr>
        <w:t xml:space="preserve">Réunion partenaires HRA annuelle.</w:t>
      </w:r>
    </w:p>
    <w:p>
      <w:pPr>
        <w:pStyle w:val="ListParagraph"/>
        <w:numPr>
          <w:ilvl w:val="0"/>
          <w:numId w:val="2"/>
        </w:numPr>
        <w:spacing w:after="60" w:line="260"/>
      </w:pPr>
      <w:r>
        <w:rPr>
          <w:rFonts w:ascii="Calibri" w:cs="Calibri" w:eastAsia="Calibri" w:hAnsi="Calibri"/>
          <w:sz w:val="20"/>
          <w:szCs w:val="20"/>
        </w:rPr>
        <w:t xml:space="preserve">Webinaires trimestriels créateurs / vendeurs.</w:t>
      </w:r>
    </w:p>
    <w:p>
      <w:pPr>
        <w:pStyle w:val="ListParagraph"/>
        <w:numPr>
          <w:ilvl w:val="0"/>
          <w:numId w:val="2"/>
        </w:numPr>
        <w:spacing w:after="60" w:line="260"/>
      </w:pPr>
      <w:r>
        <w:rPr>
          <w:rFonts w:ascii="Calibri" w:cs="Calibri" w:eastAsia="Calibri" w:hAnsi="Calibri"/>
          <w:sz w:val="20"/>
          <w:szCs w:val="20"/>
        </w:rPr>
        <w:t xml:space="preserve">Réunion ambassadeurs trimestrielle.</w:t>
      </w:r>
    </w:p>
    <w:p>
      <w:pPr>
        <w:pStyle w:val="ListParagraph"/>
        <w:numPr>
          <w:ilvl w:val="0"/>
          <w:numId w:val="2"/>
        </w:numPr>
        <w:spacing w:after="60" w:line="260"/>
      </w:pPr>
      <w:r>
        <w:rPr>
          <w:rFonts w:ascii="Calibri" w:cs="Calibri" w:eastAsia="Calibri" w:hAnsi="Calibri"/>
          <w:sz w:val="20"/>
          <w:szCs w:val="20"/>
        </w:rPr>
        <w:t xml:space="preserve">Soirée des partenaires (annuelle, juin).</w:t>
      </w:r>
    </w:p>
    <w:p>
      <w:pPr>
        <w:spacing w:after="100" w:before="220"/>
      </w:pPr>
      <w:r>
        <w:rPr>
          <w:rFonts w:ascii="Calibri" w:cs="Calibri" w:eastAsia="Calibri" w:hAnsi="Calibri"/>
          <w:b/>
          <w:bCs/>
          <w:color w:val="E87722"/>
          <w:sz w:val="22"/>
          <w:szCs w:val="22"/>
        </w:rPr>
        <w:t xml:space="preserve">1.3. Événements communautaires (voyageurs)</w:t>
      </w:r>
    </w:p>
    <w:p>
      <w:pPr>
        <w:pStyle w:val="ListParagraph"/>
        <w:numPr>
          <w:ilvl w:val="0"/>
          <w:numId w:val="2"/>
        </w:numPr>
        <w:spacing w:after="60" w:line="260"/>
      </w:pPr>
      <w:r>
        <w:rPr>
          <w:rFonts w:ascii="Calibri" w:cs="Calibri" w:eastAsia="Calibri" w:hAnsi="Calibri"/>
          <w:sz w:val="20"/>
          <w:szCs w:val="20"/>
        </w:rPr>
        <w:t xml:space="preserve">Apéro Eventy trimestriel (Paris + 2 villes en province en rotation).</w:t>
      </w:r>
    </w:p>
    <w:p>
      <w:pPr>
        <w:pStyle w:val="ListParagraph"/>
        <w:numPr>
          <w:ilvl w:val="0"/>
          <w:numId w:val="2"/>
        </w:numPr>
        <w:spacing w:after="60" w:line="260"/>
      </w:pPr>
      <w:r>
        <w:rPr>
          <w:rFonts w:ascii="Calibri" w:cs="Calibri" w:eastAsia="Calibri" w:hAnsi="Calibri"/>
          <w:sz w:val="20"/>
          <w:szCs w:val="20"/>
        </w:rPr>
        <w:t xml:space="preserve">Conférence voyage annuelle (1 voyageur Légende + 1 partenaire HRA).</w:t>
      </w:r>
    </w:p>
    <w:p>
      <w:pPr>
        <w:pStyle w:val="ListParagraph"/>
        <w:numPr>
          <w:ilvl w:val="0"/>
          <w:numId w:val="2"/>
        </w:numPr>
        <w:spacing w:after="60" w:line="260"/>
      </w:pPr>
      <w:r>
        <w:rPr>
          <w:rFonts w:ascii="Calibri" w:cs="Calibri" w:eastAsia="Calibri" w:hAnsi="Calibri"/>
          <w:sz w:val="20"/>
          <w:szCs w:val="20"/>
        </w:rPr>
        <w:t xml:space="preserve">Anniversaire Eventy annuel (juin) — événement ouvert à toute la communauté.</w:t>
      </w:r>
    </w:p>
    <w:p>
      <w:pPr>
        <w:pStyle w:val="ListParagraph"/>
        <w:numPr>
          <w:ilvl w:val="0"/>
          <w:numId w:val="2"/>
        </w:numPr>
        <w:spacing w:after="60" w:line="260"/>
      </w:pPr>
      <w:r>
        <w:rPr>
          <w:rFonts w:ascii="Calibri" w:cs="Calibri" w:eastAsia="Calibri" w:hAnsi="Calibri"/>
          <w:sz w:val="20"/>
          <w:szCs w:val="20"/>
        </w:rPr>
        <w:t xml:space="preserve">Événements à thème saisonniers (vœux nouvelle année, fête été, etc.).</w:t>
      </w:r>
    </w:p>
    <w:p>
      <w:pPr>
        <w:spacing w:after="100" w:before="220"/>
      </w:pPr>
      <w:r>
        <w:rPr>
          <w:rFonts w:ascii="Calibri" w:cs="Calibri" w:eastAsia="Calibri" w:hAnsi="Calibri"/>
          <w:b/>
          <w:bCs/>
          <w:color w:val="E87722"/>
          <w:sz w:val="22"/>
          <w:szCs w:val="22"/>
        </w:rPr>
        <w:t xml:space="preserve">1.4. Événements commerciaux et institutionnels</w:t>
      </w:r>
    </w:p>
    <w:p>
      <w:pPr>
        <w:pStyle w:val="ListParagraph"/>
        <w:numPr>
          <w:ilvl w:val="0"/>
          <w:numId w:val="2"/>
        </w:numPr>
        <w:spacing w:after="60" w:line="260"/>
      </w:pPr>
      <w:r>
        <w:rPr>
          <w:rFonts w:ascii="Calibri" w:cs="Calibri" w:eastAsia="Calibri" w:hAnsi="Calibri"/>
          <w:sz w:val="20"/>
          <w:szCs w:val="20"/>
        </w:rPr>
        <w:t xml:space="preserve">Salons tourisme (IFTM Top Resa principalement, septembre).</w:t>
      </w:r>
    </w:p>
    <w:p>
      <w:pPr>
        <w:pStyle w:val="ListParagraph"/>
        <w:numPr>
          <w:ilvl w:val="0"/>
          <w:numId w:val="2"/>
        </w:numPr>
        <w:spacing w:after="60" w:line="260"/>
      </w:pPr>
      <w:r>
        <w:rPr>
          <w:rFonts w:ascii="Calibri" w:cs="Calibri" w:eastAsia="Calibri" w:hAnsi="Calibri"/>
          <w:sz w:val="20"/>
          <w:szCs w:val="20"/>
        </w:rPr>
        <w:t xml:space="preserve">Conférences sectorielles (interventions Président).</w:t>
      </w:r>
    </w:p>
    <w:p>
      <w:pPr>
        <w:pStyle w:val="ListParagraph"/>
        <w:numPr>
          <w:ilvl w:val="0"/>
          <w:numId w:val="2"/>
        </w:numPr>
        <w:spacing w:after="60" w:line="260"/>
      </w:pPr>
      <w:r>
        <w:rPr>
          <w:rFonts w:ascii="Calibri" w:cs="Calibri" w:eastAsia="Calibri" w:hAnsi="Calibri"/>
          <w:sz w:val="20"/>
          <w:szCs w:val="20"/>
        </w:rPr>
        <w:t xml:space="preserve">Lancements de saison voyage (T1 et T3).</w:t>
      </w:r>
    </w:p>
    <w:p>
      <w:pPr>
        <w:pStyle w:val="ListParagraph"/>
        <w:numPr>
          <w:ilvl w:val="0"/>
          <w:numId w:val="2"/>
        </w:numPr>
        <w:spacing w:after="60" w:line="260"/>
      </w:pPr>
      <w:r>
        <w:rPr>
          <w:rFonts w:ascii="Calibri" w:cs="Calibri" w:eastAsia="Calibri" w:hAnsi="Calibri"/>
          <w:sz w:val="20"/>
          <w:szCs w:val="20"/>
        </w:rPr>
        <w:t xml:space="preserve">Conférence de presse pour annonces majeures (levée fonds, partenariats).</w:t>
      </w:r>
    </w:p>
    <w:p>
      <w:pPr>
        <w:spacing w:after="160" w:before="240"/>
      </w:pPr>
      <w:r>
        <w:rPr>
          <w:rFonts w:ascii="Calibri" w:cs="Calibri" w:eastAsia="Calibri" w:hAnsi="Calibri"/>
          <w:b/>
          <w:bCs/>
          <w:color w:val="1F4E79"/>
          <w:sz w:val="32"/>
          <w:szCs w:val="32"/>
        </w:rPr>
        <w:t xml:space="preserve">2. Calendrier annuel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Période</w:t>
            </w:r>
          </w:p>
        </w:tc>
        <w:tc>
          <w:tcPr>
            <w:tcW w:type="dxa" w:w="748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Événements clés</w:t>
            </w:r>
          </w:p>
        </w:tc>
      </w:tr>
      <w:tr>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Janvier</w:t>
            </w:r>
          </w:p>
        </w:tc>
        <w:tc>
          <w:tcPr>
            <w:tcW w:type="dxa" w:w="748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Vœux équipe, lancement saison 1 (printemps), conférence presse calendrier annuel</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Février</w:t>
            </w:r>
          </w:p>
        </w:tc>
        <w:tc>
          <w:tcPr>
            <w:tcW w:type="dxa" w:w="748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Apéro Eventy Paris (T1), réunion ambassadeurs</w:t>
            </w:r>
          </w:p>
        </w:tc>
      </w:tr>
      <w:tr>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Mars</w:t>
            </w:r>
          </w:p>
        </w:tc>
        <w:tc>
          <w:tcPr>
            <w:tcW w:type="dxa" w:w="748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Séminaire équipe T1, salon tourisme régional (selon programmation)</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Avril</w:t>
            </w:r>
          </w:p>
        </w:tc>
        <w:tc>
          <w:tcPr>
            <w:tcW w:type="dxa" w:w="748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Apéro Eventy province #1 (T2), webinaires trimestriels partenaires</w:t>
            </w:r>
          </w:p>
        </w:tc>
      </w:tr>
      <w:tr>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Mai</w:t>
            </w:r>
          </w:p>
        </w:tc>
        <w:tc>
          <w:tcPr>
            <w:tcW w:type="dxa" w:w="748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Réunion partenaires HRA annuelle</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Juin</w:t>
            </w:r>
          </w:p>
        </w:tc>
        <w:tc>
          <w:tcPr>
            <w:tcW w:type="dxa" w:w="748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**Anniversaire Eventy** (événement signature), soirée partenaires</w:t>
            </w:r>
          </w:p>
        </w:tc>
      </w:tr>
      <w:tr>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Juillet-Août</w:t>
            </w:r>
          </w:p>
        </w:tc>
        <w:tc>
          <w:tcPr>
            <w:tcW w:type="dxa" w:w="748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Activité réduite (saison voyages — opérationnel prioritaire)</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Septembre</w:t>
            </w:r>
          </w:p>
        </w:tc>
        <w:tc>
          <w:tcPr>
            <w:tcW w:type="dxa" w:w="748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**IFTM Top Resa** (salon tourisme majeur), apéro Eventy Paris (T3)</w:t>
            </w:r>
          </w:p>
        </w:tc>
      </w:tr>
      <w:tr>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Octobre</w:t>
            </w:r>
          </w:p>
        </w:tc>
        <w:tc>
          <w:tcPr>
            <w:tcW w:type="dxa" w:w="748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Lancement saison 2 (hiver), conférence voyage annuelle</w:t>
            </w:r>
          </w:p>
        </w:tc>
      </w:tr>
      <w:tr>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Novembre</w:t>
            </w:r>
          </w:p>
        </w:tc>
        <w:tc>
          <w:tcPr>
            <w:tcW w:type="dxa" w:w="748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Apéro Eventy province #2 (T4), salon B2B / CSE</w:t>
            </w:r>
          </w:p>
        </w:tc>
      </w:tr>
      <w:tr>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Décembre</w:t>
            </w:r>
          </w:p>
        </w:tc>
        <w:tc>
          <w:tcPr>
            <w:tcW w:type="dxa" w:w="748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Soirée d'équipe annuelle, vœux clients/partenaires</w:t>
            </w:r>
          </w:p>
        </w:tc>
      </w:tr>
    </w:tbl>
    <w:p>
      <w:pPr>
        <w:spacing w:after="160" w:before="240"/>
      </w:pPr>
      <w:r>
        <w:rPr>
          <w:rFonts w:ascii="Calibri" w:cs="Calibri" w:eastAsia="Calibri" w:hAnsi="Calibri"/>
          <w:b/>
          <w:bCs/>
          <w:color w:val="1F4E79"/>
          <w:sz w:val="32"/>
          <w:szCs w:val="32"/>
        </w:rPr>
        <w:t xml:space="preserve">3. Anniversaire Eventy (événement signature)</w:t>
      </w:r>
    </w:p>
    <w:p>
      <w:pPr>
        <w:spacing w:after="100" w:before="220"/>
      </w:pPr>
      <w:r>
        <w:rPr>
          <w:rFonts w:ascii="Calibri" w:cs="Calibri" w:eastAsia="Calibri" w:hAnsi="Calibri"/>
          <w:b/>
          <w:bCs/>
          <w:color w:val="E87722"/>
          <w:sz w:val="22"/>
          <w:szCs w:val="22"/>
        </w:rPr>
        <w:t xml:space="preserve">3.1. Format</w:t>
      </w:r>
    </w:p>
    <w:p>
      <w:pPr>
        <w:pStyle w:val="ListParagraph"/>
        <w:numPr>
          <w:ilvl w:val="0"/>
          <w:numId w:val="2"/>
        </w:numPr>
        <w:spacing w:after="60" w:line="260"/>
      </w:pPr>
      <w:r>
        <w:rPr>
          <w:rFonts w:ascii="Calibri" w:cs="Calibri" w:eastAsia="Calibri" w:hAnsi="Calibri"/>
          <w:sz w:val="20"/>
          <w:szCs w:val="20"/>
        </w:rPr>
        <w:t xml:space="preserve">Date : juin (anniversaire de la création SAS Eventy Life).</w:t>
      </w:r>
    </w:p>
    <w:p>
      <w:pPr>
        <w:pStyle w:val="ListParagraph"/>
        <w:numPr>
          <w:ilvl w:val="0"/>
          <w:numId w:val="2"/>
        </w:numPr>
        <w:spacing w:after="60" w:line="260"/>
      </w:pPr>
      <w:r>
        <w:rPr>
          <w:rFonts w:ascii="Calibri" w:cs="Calibri" w:eastAsia="Calibri" w:hAnsi="Calibri"/>
          <w:sz w:val="20"/>
          <w:szCs w:val="20"/>
        </w:rPr>
        <w:t xml:space="preserve">Format hybride : événement physique dans une destination Eventy emblématique + retransmission en ligne.</w:t>
      </w:r>
    </w:p>
    <w:p>
      <w:pPr>
        <w:pStyle w:val="ListParagraph"/>
        <w:numPr>
          <w:ilvl w:val="0"/>
          <w:numId w:val="2"/>
        </w:numPr>
        <w:spacing w:after="60" w:line="260"/>
      </w:pPr>
      <w:r>
        <w:rPr>
          <w:rFonts w:ascii="Calibri" w:cs="Calibri" w:eastAsia="Calibri" w:hAnsi="Calibri"/>
          <w:sz w:val="20"/>
          <w:szCs w:val="20"/>
        </w:rPr>
        <w:t xml:space="preserve">Durée : 1 journée.</w:t>
      </w:r>
    </w:p>
    <w:p>
      <w:pPr>
        <w:pStyle w:val="ListParagraph"/>
        <w:numPr>
          <w:ilvl w:val="0"/>
          <w:numId w:val="2"/>
        </w:numPr>
        <w:spacing w:after="60" w:line="260"/>
      </w:pPr>
      <w:r>
        <w:rPr>
          <w:rFonts w:ascii="Calibri" w:cs="Calibri" w:eastAsia="Calibri" w:hAnsi="Calibri"/>
          <w:sz w:val="20"/>
          <w:szCs w:val="20"/>
        </w:rPr>
        <w:t xml:space="preserve">Capacité : 100-300 personnes selon édition.</w:t>
      </w:r>
    </w:p>
    <w:p>
      <w:pPr>
        <w:spacing w:after="100" w:before="220"/>
      </w:pPr>
      <w:r>
        <w:rPr>
          <w:rFonts w:ascii="Calibri" w:cs="Calibri" w:eastAsia="Calibri" w:hAnsi="Calibri"/>
          <w:b/>
          <w:bCs/>
          <w:color w:val="E87722"/>
          <w:sz w:val="22"/>
          <w:szCs w:val="22"/>
        </w:rPr>
        <w:t xml:space="preserve">3.2. Audience invitée</w:t>
      </w:r>
    </w:p>
    <w:p>
      <w:pPr>
        <w:pStyle w:val="ListParagraph"/>
        <w:numPr>
          <w:ilvl w:val="0"/>
          <w:numId w:val="2"/>
        </w:numPr>
        <w:spacing w:after="60" w:line="260"/>
      </w:pPr>
      <w:r>
        <w:rPr>
          <w:rFonts w:ascii="Calibri" w:cs="Calibri" w:eastAsia="Calibri" w:hAnsi="Calibri"/>
          <w:sz w:val="20"/>
          <w:szCs w:val="20"/>
        </w:rPr>
        <w:t xml:space="preserve">Voyageurs Famille et Légende (priorité).</w:t>
      </w:r>
    </w:p>
    <w:p>
      <w:pPr>
        <w:pStyle w:val="ListParagraph"/>
        <w:numPr>
          <w:ilvl w:val="0"/>
          <w:numId w:val="2"/>
        </w:numPr>
        <w:spacing w:after="60" w:line="260"/>
      </w:pPr>
      <w:r>
        <w:rPr>
          <w:rFonts w:ascii="Calibri" w:cs="Calibri" w:eastAsia="Calibri" w:hAnsi="Calibri"/>
          <w:sz w:val="20"/>
          <w:szCs w:val="20"/>
        </w:rPr>
        <w:t xml:space="preserve">Partenaires HRA, créateurs, vendeurs, ambassadeurs.</w:t>
      </w:r>
    </w:p>
    <w:p>
      <w:pPr>
        <w:pStyle w:val="ListParagraph"/>
        <w:numPr>
          <w:ilvl w:val="0"/>
          <w:numId w:val="2"/>
        </w:numPr>
        <w:spacing w:after="60" w:line="260"/>
      </w:pPr>
      <w:r>
        <w:rPr>
          <w:rFonts w:ascii="Calibri" w:cs="Calibri" w:eastAsia="Calibri" w:hAnsi="Calibri"/>
          <w:sz w:val="20"/>
          <w:szCs w:val="20"/>
        </w:rPr>
        <w:t xml:space="preserve">Investisseurs.</w:t>
      </w:r>
    </w:p>
    <w:p>
      <w:pPr>
        <w:pStyle w:val="ListParagraph"/>
        <w:numPr>
          <w:ilvl w:val="0"/>
          <w:numId w:val="2"/>
        </w:numPr>
        <w:spacing w:after="60" w:line="260"/>
      </w:pPr>
      <w:r>
        <w:rPr>
          <w:rFonts w:ascii="Calibri" w:cs="Calibri" w:eastAsia="Calibri" w:hAnsi="Calibri"/>
          <w:sz w:val="20"/>
          <w:szCs w:val="20"/>
        </w:rPr>
        <w:t xml:space="preserve">Presse (cohérence Stratégie relations presse).</w:t>
      </w:r>
    </w:p>
    <w:p>
      <w:pPr>
        <w:pStyle w:val="ListParagraph"/>
        <w:numPr>
          <w:ilvl w:val="0"/>
          <w:numId w:val="2"/>
        </w:numPr>
        <w:spacing w:after="60" w:line="260"/>
      </w:pPr>
      <w:r>
        <w:rPr>
          <w:rFonts w:ascii="Calibri" w:cs="Calibri" w:eastAsia="Calibri" w:hAnsi="Calibri"/>
          <w:sz w:val="20"/>
          <w:szCs w:val="20"/>
        </w:rPr>
        <w:t xml:space="preserve">Personnalités tourisme et économie sociale (sur invitation).</w:t>
      </w:r>
    </w:p>
    <w:p>
      <w:pPr>
        <w:spacing w:after="100" w:before="220"/>
      </w:pPr>
      <w:r>
        <w:rPr>
          <w:rFonts w:ascii="Calibri" w:cs="Calibri" w:eastAsia="Calibri" w:hAnsi="Calibri"/>
          <w:b/>
          <w:bCs/>
          <w:color w:val="E87722"/>
          <w:sz w:val="22"/>
          <w:szCs w:val="22"/>
        </w:rPr>
        <w:t xml:space="preserve">3.3. Contenu type</w:t>
      </w:r>
    </w:p>
    <w:p>
      <w:pPr>
        <w:pStyle w:val="ListParagraph"/>
        <w:numPr>
          <w:ilvl w:val="0"/>
          <w:numId w:val="2"/>
        </w:numPr>
        <w:spacing w:after="60" w:line="260"/>
      </w:pPr>
      <w:r>
        <w:rPr>
          <w:rFonts w:ascii="Calibri" w:cs="Calibri" w:eastAsia="Calibri" w:hAnsi="Calibri"/>
          <w:sz w:val="20"/>
          <w:szCs w:val="20"/>
        </w:rPr>
        <w:t xml:space="preserve">Matin — bilan Eventy de l'année écoulée.</w:t>
      </w:r>
    </w:p>
    <w:p>
      <w:pPr>
        <w:pStyle w:val="ListParagraph"/>
        <w:numPr>
          <w:ilvl w:val="0"/>
          <w:numId w:val="2"/>
        </w:numPr>
        <w:spacing w:after="60" w:line="260"/>
      </w:pPr>
      <w:r>
        <w:rPr>
          <w:rFonts w:ascii="Calibri" w:cs="Calibri" w:eastAsia="Calibri" w:hAnsi="Calibri"/>
          <w:sz w:val="20"/>
          <w:szCs w:val="20"/>
        </w:rPr>
        <w:t xml:space="preserve">Tables rondes thématiques (transparence prix, économie circulaire, voyage social).</w:t>
      </w:r>
    </w:p>
    <w:p>
      <w:pPr>
        <w:pStyle w:val="ListParagraph"/>
        <w:numPr>
          <w:ilvl w:val="0"/>
          <w:numId w:val="2"/>
        </w:numPr>
        <w:spacing w:after="60" w:line="260"/>
      </w:pPr>
      <w:r>
        <w:rPr>
          <w:rFonts w:ascii="Calibri" w:cs="Calibri" w:eastAsia="Calibri" w:hAnsi="Calibri"/>
          <w:sz w:val="20"/>
          <w:szCs w:val="20"/>
        </w:rPr>
        <w:t xml:space="preserve">Témoignages voyageurs et partenaires.</w:t>
      </w:r>
    </w:p>
    <w:p>
      <w:pPr>
        <w:pStyle w:val="ListParagraph"/>
        <w:numPr>
          <w:ilvl w:val="0"/>
          <w:numId w:val="2"/>
        </w:numPr>
        <w:spacing w:after="60" w:line="260"/>
      </w:pPr>
      <w:r>
        <w:rPr>
          <w:rFonts w:ascii="Calibri" w:cs="Calibri" w:eastAsia="Calibri" w:hAnsi="Calibri"/>
          <w:sz w:val="20"/>
          <w:szCs w:val="20"/>
        </w:rPr>
        <w:t xml:space="preserve">Annonces stratégiques (nouveaux voyages, partenariats, projets).</w:t>
      </w:r>
    </w:p>
    <w:p>
      <w:pPr>
        <w:pStyle w:val="ListParagraph"/>
        <w:numPr>
          <w:ilvl w:val="0"/>
          <w:numId w:val="2"/>
        </w:numPr>
        <w:spacing w:after="60" w:line="260"/>
      </w:pPr>
      <w:r>
        <w:rPr>
          <w:rFonts w:ascii="Calibri" w:cs="Calibri" w:eastAsia="Calibri" w:hAnsi="Calibri"/>
          <w:sz w:val="20"/>
          <w:szCs w:val="20"/>
        </w:rPr>
        <w:t xml:space="preserve">Soirée festive avec animation locale.</w:t>
      </w:r>
    </w:p>
    <w:p>
      <w:pPr>
        <w:spacing w:after="100" w:before="220"/>
      </w:pPr>
      <w:r>
        <w:rPr>
          <w:rFonts w:ascii="Calibri" w:cs="Calibri" w:eastAsia="Calibri" w:hAnsi="Calibri"/>
          <w:b/>
          <w:bCs/>
          <w:color w:val="E87722"/>
          <w:sz w:val="22"/>
          <w:szCs w:val="22"/>
        </w:rPr>
        <w:t xml:space="preserve">3.4. Engagements éthiques</w:t>
      </w:r>
    </w:p>
    <w:p>
      <w:pPr>
        <w:pStyle w:val="ListParagraph"/>
        <w:numPr>
          <w:ilvl w:val="0"/>
          <w:numId w:val="2"/>
        </w:numPr>
        <w:spacing w:after="60" w:line="260"/>
      </w:pPr>
      <w:r>
        <w:rPr>
          <w:rFonts w:ascii="Calibri" w:cs="Calibri" w:eastAsia="Calibri" w:hAnsi="Calibri"/>
          <w:sz w:val="20"/>
          <w:szCs w:val="20"/>
        </w:rPr>
        <w:t xml:space="preserve">Bilan carbone de l'événement publié.</w:t>
      </w:r>
    </w:p>
    <w:p>
      <w:pPr>
        <w:pStyle w:val="ListParagraph"/>
        <w:numPr>
          <w:ilvl w:val="0"/>
          <w:numId w:val="2"/>
        </w:numPr>
        <w:spacing w:after="60" w:line="260"/>
      </w:pPr>
      <w:r>
        <w:rPr>
          <w:rFonts w:ascii="Calibri" w:cs="Calibri" w:eastAsia="Calibri" w:hAnsi="Calibri"/>
          <w:sz w:val="20"/>
          <w:szCs w:val="20"/>
        </w:rPr>
        <w:t xml:space="preserve">Compensation carbone systématique.</w:t>
      </w:r>
    </w:p>
    <w:p>
      <w:pPr>
        <w:pStyle w:val="ListParagraph"/>
        <w:numPr>
          <w:ilvl w:val="0"/>
          <w:numId w:val="2"/>
        </w:numPr>
        <w:spacing w:after="60" w:line="260"/>
      </w:pPr>
      <w:r>
        <w:rPr>
          <w:rFonts w:ascii="Calibri" w:cs="Calibri" w:eastAsia="Calibri" w:hAnsi="Calibri"/>
          <w:sz w:val="20"/>
          <w:szCs w:val="20"/>
        </w:rPr>
        <w:t xml:space="preserve">Catering circuit court.</w:t>
      </w:r>
    </w:p>
    <w:p>
      <w:pPr>
        <w:pStyle w:val="ListParagraph"/>
        <w:numPr>
          <w:ilvl w:val="0"/>
          <w:numId w:val="2"/>
        </w:numPr>
        <w:spacing w:after="60" w:line="260"/>
      </w:pPr>
      <w:r>
        <w:rPr>
          <w:rFonts w:ascii="Calibri" w:cs="Calibri" w:eastAsia="Calibri" w:hAnsi="Calibri"/>
          <w:sz w:val="20"/>
          <w:szCs w:val="20"/>
        </w:rPr>
        <w:t xml:space="preserve">Lieu accessible PMR.</w:t>
      </w:r>
    </w:p>
    <w:p>
      <w:pPr>
        <w:pStyle w:val="ListParagraph"/>
        <w:numPr>
          <w:ilvl w:val="0"/>
          <w:numId w:val="2"/>
        </w:numPr>
        <w:spacing w:after="60" w:line="260"/>
      </w:pPr>
      <w:r>
        <w:rPr>
          <w:rFonts w:ascii="Calibri" w:cs="Calibri" w:eastAsia="Calibri" w:hAnsi="Calibri"/>
          <w:sz w:val="20"/>
          <w:szCs w:val="20"/>
        </w:rPr>
        <w:t xml:space="preserve">Captation vidéo accessible (sous-titres).</w:t>
      </w:r>
    </w:p>
    <w:p>
      <w:pPr>
        <w:spacing w:after="160" w:before="240"/>
      </w:pPr>
      <w:r>
        <w:rPr>
          <w:rFonts w:ascii="Calibri" w:cs="Calibri" w:eastAsia="Calibri" w:hAnsi="Calibri"/>
          <w:b/>
          <w:bCs/>
          <w:color w:val="1F4E79"/>
          <w:sz w:val="32"/>
          <w:szCs w:val="32"/>
        </w:rPr>
        <w:t xml:space="preserve">4. Apéros Eventy trimestriels</w:t>
      </w:r>
    </w:p>
    <w:p>
      <w:pPr>
        <w:spacing w:after="100" w:before="220"/>
      </w:pPr>
      <w:r>
        <w:rPr>
          <w:rFonts w:ascii="Calibri" w:cs="Calibri" w:eastAsia="Calibri" w:hAnsi="Calibri"/>
          <w:b/>
          <w:bCs/>
          <w:color w:val="E87722"/>
          <w:sz w:val="22"/>
          <w:szCs w:val="22"/>
        </w:rPr>
        <w:t xml:space="preserve">4.1. Format</w:t>
      </w:r>
    </w:p>
    <w:p>
      <w:pPr>
        <w:pStyle w:val="ListParagraph"/>
        <w:numPr>
          <w:ilvl w:val="0"/>
          <w:numId w:val="2"/>
        </w:numPr>
        <w:spacing w:after="60" w:line="260"/>
      </w:pPr>
      <w:r>
        <w:rPr>
          <w:rFonts w:ascii="Calibri" w:cs="Calibri" w:eastAsia="Calibri" w:hAnsi="Calibri"/>
          <w:sz w:val="20"/>
          <w:szCs w:val="20"/>
        </w:rPr>
        <w:t xml:space="preserve">Format léger : 18h-21h, lieu convivial (bar, café, espace tiers).</w:t>
      </w:r>
    </w:p>
    <w:p>
      <w:pPr>
        <w:pStyle w:val="ListParagraph"/>
        <w:numPr>
          <w:ilvl w:val="0"/>
          <w:numId w:val="2"/>
        </w:numPr>
        <w:spacing w:after="60" w:line="260"/>
      </w:pPr>
      <w:r>
        <w:rPr>
          <w:rFonts w:ascii="Calibri" w:cs="Calibri" w:eastAsia="Calibri" w:hAnsi="Calibri"/>
          <w:sz w:val="20"/>
          <w:szCs w:val="20"/>
        </w:rPr>
        <w:t xml:space="preserve">Capacité : 30-80 personnes.</w:t>
      </w:r>
    </w:p>
    <w:p>
      <w:pPr>
        <w:pStyle w:val="ListParagraph"/>
        <w:numPr>
          <w:ilvl w:val="0"/>
          <w:numId w:val="2"/>
        </w:numPr>
        <w:spacing w:after="60" w:line="260"/>
      </w:pPr>
      <w:r>
        <w:rPr>
          <w:rFonts w:ascii="Calibri" w:cs="Calibri" w:eastAsia="Calibri" w:hAnsi="Calibri"/>
          <w:sz w:val="20"/>
          <w:szCs w:val="20"/>
        </w:rPr>
        <w:t xml:space="preserve">Pas de programme rigide — temps d'échanges informels.</w:t>
      </w:r>
    </w:p>
    <w:p>
      <w:pPr>
        <w:spacing w:after="100" w:before="220"/>
      </w:pPr>
      <w:r>
        <w:rPr>
          <w:rFonts w:ascii="Calibri" w:cs="Calibri" w:eastAsia="Calibri" w:hAnsi="Calibri"/>
          <w:b/>
          <w:bCs/>
          <w:color w:val="E87722"/>
          <w:sz w:val="22"/>
          <w:szCs w:val="22"/>
        </w:rPr>
        <w:t xml:space="preserve">4.2. Périodicité</w:t>
      </w:r>
    </w:p>
    <w:p>
      <w:pPr>
        <w:pStyle w:val="ListParagraph"/>
        <w:numPr>
          <w:ilvl w:val="0"/>
          <w:numId w:val="2"/>
        </w:numPr>
        <w:spacing w:after="60" w:line="260"/>
      </w:pPr>
      <w:r>
        <w:rPr>
          <w:rFonts w:ascii="Calibri" w:cs="Calibri" w:eastAsia="Calibri" w:hAnsi="Calibri"/>
          <w:sz w:val="20"/>
          <w:szCs w:val="20"/>
        </w:rPr>
        <w:t xml:space="preserve">Paris : 2 par an (mars, septembre).</w:t>
      </w:r>
    </w:p>
    <w:p>
      <w:pPr>
        <w:pStyle w:val="ListParagraph"/>
        <w:numPr>
          <w:ilvl w:val="0"/>
          <w:numId w:val="2"/>
        </w:numPr>
        <w:spacing w:after="60" w:line="260"/>
      </w:pPr>
      <w:r>
        <w:rPr>
          <w:rFonts w:ascii="Calibri" w:cs="Calibri" w:eastAsia="Calibri" w:hAnsi="Calibri"/>
          <w:sz w:val="20"/>
          <w:szCs w:val="20"/>
        </w:rPr>
        <w:t xml:space="preserve">Province : 2 par an, en rotation entre 4-6 villes (Lyon, Marseille, Bordeaux, Lille, Toulouse, Nantes).</w:t>
      </w:r>
    </w:p>
    <w:p>
      <w:pPr>
        <w:spacing w:after="100" w:before="220"/>
      </w:pPr>
      <w:r>
        <w:rPr>
          <w:rFonts w:ascii="Calibri" w:cs="Calibri" w:eastAsia="Calibri" w:hAnsi="Calibri"/>
          <w:b/>
          <w:bCs/>
          <w:color w:val="E87722"/>
          <w:sz w:val="22"/>
          <w:szCs w:val="22"/>
        </w:rPr>
        <w:t xml:space="preserve">4.3. Coût type</w:t>
      </w:r>
    </w:p>
    <w:p>
      <w:pPr>
        <w:pStyle w:val="ListParagraph"/>
        <w:numPr>
          <w:ilvl w:val="0"/>
          <w:numId w:val="2"/>
        </w:numPr>
        <w:spacing w:after="60" w:line="260"/>
      </w:pPr>
      <w:r>
        <w:rPr>
          <w:rFonts w:ascii="Calibri" w:cs="Calibri" w:eastAsia="Calibri" w:hAnsi="Calibri"/>
          <w:sz w:val="20"/>
          <w:szCs w:val="20"/>
        </w:rPr>
        <w:t xml:space="preserve">Budget par événement : 500 à 2 000 € (selon ville et lieu).</w:t>
      </w:r>
    </w:p>
    <w:p>
      <w:pPr>
        <w:pStyle w:val="ListParagraph"/>
        <w:numPr>
          <w:ilvl w:val="0"/>
          <w:numId w:val="2"/>
        </w:numPr>
        <w:spacing w:after="60" w:line="260"/>
      </w:pPr>
      <w:r>
        <w:rPr>
          <w:rFonts w:ascii="Calibri" w:cs="Calibri" w:eastAsia="Calibri" w:hAnsi="Calibri"/>
          <w:sz w:val="20"/>
          <w:szCs w:val="20"/>
        </w:rPr>
        <w:t xml:space="preserve">Boissons et collations légères offertes.</w:t>
      </w:r>
    </w:p>
    <w:p>
      <w:pPr>
        <w:spacing w:after="160" w:before="240"/>
      </w:pPr>
      <w:r>
        <w:rPr>
          <w:rFonts w:ascii="Calibri" w:cs="Calibri" w:eastAsia="Calibri" w:hAnsi="Calibri"/>
          <w:b/>
          <w:bCs/>
          <w:color w:val="1F4E79"/>
          <w:sz w:val="32"/>
          <w:szCs w:val="32"/>
        </w:rPr>
        <w:t xml:space="preserve">5. Présence salons</w:t>
      </w:r>
    </w:p>
    <w:p>
      <w:pPr>
        <w:spacing w:after="100" w:before="220"/>
      </w:pPr>
      <w:r>
        <w:rPr>
          <w:rFonts w:ascii="Calibri" w:cs="Calibri" w:eastAsia="Calibri" w:hAnsi="Calibri"/>
          <w:b/>
          <w:bCs/>
          <w:color w:val="E87722"/>
          <w:sz w:val="22"/>
          <w:szCs w:val="22"/>
        </w:rPr>
        <w:t xml:space="preserve">5.1. IFTM Top Resa (priorité)</w:t>
      </w:r>
    </w:p>
    <w:p>
      <w:pPr>
        <w:pStyle w:val="ListParagraph"/>
        <w:numPr>
          <w:ilvl w:val="0"/>
          <w:numId w:val="2"/>
        </w:numPr>
        <w:spacing w:after="60" w:line="260"/>
      </w:pPr>
      <w:r>
        <w:rPr>
          <w:rFonts w:ascii="Calibri" w:cs="Calibri" w:eastAsia="Calibri" w:hAnsi="Calibri"/>
          <w:sz w:val="20"/>
          <w:szCs w:val="20"/>
        </w:rPr>
        <w:t xml:space="preserve">Salon professionnel tourisme majeur en France (septembre).</w:t>
      </w:r>
    </w:p>
    <w:p>
      <w:pPr>
        <w:pStyle w:val="ListParagraph"/>
        <w:numPr>
          <w:ilvl w:val="0"/>
          <w:numId w:val="2"/>
        </w:numPr>
        <w:spacing w:after="60" w:line="260"/>
      </w:pPr>
      <w:r>
        <w:rPr>
          <w:rFonts w:ascii="Calibri" w:cs="Calibri" w:eastAsia="Calibri" w:hAnsi="Calibri"/>
          <w:sz w:val="20"/>
          <w:szCs w:val="20"/>
        </w:rPr>
        <w:t xml:space="preserve">Présence : An 1 stand modeste, An 2+ stand structurant.</w:t>
      </w:r>
    </w:p>
    <w:p>
      <w:pPr>
        <w:pStyle w:val="ListParagraph"/>
        <w:numPr>
          <w:ilvl w:val="0"/>
          <w:numId w:val="2"/>
        </w:numPr>
        <w:spacing w:after="60" w:line="260"/>
      </w:pPr>
      <w:r>
        <w:rPr>
          <w:rFonts w:ascii="Calibri" w:cs="Calibri" w:eastAsia="Calibri" w:hAnsi="Calibri"/>
          <w:sz w:val="20"/>
          <w:szCs w:val="20"/>
        </w:rPr>
        <w:t xml:space="preserve">Objectif : sourcing créateurs/HRA, partenariats institutionnels, RP.</w:t>
      </w:r>
    </w:p>
    <w:p>
      <w:pPr>
        <w:spacing w:after="100" w:before="220"/>
      </w:pPr>
      <w:r>
        <w:rPr>
          <w:rFonts w:ascii="Calibri" w:cs="Calibri" w:eastAsia="Calibri" w:hAnsi="Calibri"/>
          <w:b/>
          <w:bCs/>
          <w:color w:val="E87722"/>
          <w:sz w:val="22"/>
          <w:szCs w:val="22"/>
        </w:rPr>
        <w:t xml:space="preserve">5.2. Salons B2B / CSE</w:t>
      </w:r>
    </w:p>
    <w:p>
      <w:pPr>
        <w:pStyle w:val="ListParagraph"/>
        <w:numPr>
          <w:ilvl w:val="0"/>
          <w:numId w:val="2"/>
        </w:numPr>
        <w:spacing w:after="60" w:line="260"/>
      </w:pPr>
      <w:r>
        <w:rPr>
          <w:rFonts w:ascii="Calibri" w:cs="Calibri" w:eastAsia="Calibri" w:hAnsi="Calibri"/>
          <w:sz w:val="20"/>
          <w:szCs w:val="20"/>
        </w:rPr>
        <w:t xml:space="preserve">Salon CSE en région (1-2 par an).</w:t>
      </w:r>
    </w:p>
    <w:p>
      <w:pPr>
        <w:pStyle w:val="ListParagraph"/>
        <w:numPr>
          <w:ilvl w:val="0"/>
          <w:numId w:val="2"/>
        </w:numPr>
        <w:spacing w:after="60" w:line="260"/>
      </w:pPr>
      <w:r>
        <w:rPr>
          <w:rFonts w:ascii="Calibri" w:cs="Calibri" w:eastAsia="Calibri" w:hAnsi="Calibri"/>
          <w:sz w:val="20"/>
          <w:szCs w:val="20"/>
        </w:rPr>
        <w:t xml:space="preserve">Salon entreprises et événementiel.</w:t>
      </w:r>
    </w:p>
    <w:p>
      <w:pPr>
        <w:pStyle w:val="ListParagraph"/>
        <w:numPr>
          <w:ilvl w:val="0"/>
          <w:numId w:val="2"/>
        </w:numPr>
        <w:spacing w:after="60" w:line="260"/>
      </w:pPr>
      <w:r>
        <w:rPr>
          <w:rFonts w:ascii="Calibri" w:cs="Calibri" w:eastAsia="Calibri" w:hAnsi="Calibri"/>
          <w:sz w:val="20"/>
          <w:szCs w:val="20"/>
        </w:rPr>
        <w:t xml:space="preserve">Cohérence avec Offre CSE / B2B.</w:t>
      </w:r>
    </w:p>
    <w:p>
      <w:pPr>
        <w:spacing w:after="100" w:before="220"/>
      </w:pPr>
      <w:r>
        <w:rPr>
          <w:rFonts w:ascii="Calibri" w:cs="Calibri" w:eastAsia="Calibri" w:hAnsi="Calibri"/>
          <w:b/>
          <w:bCs/>
          <w:color w:val="E87722"/>
          <w:sz w:val="22"/>
          <w:szCs w:val="22"/>
        </w:rPr>
        <w:t xml:space="preserve">5.3. Salons régionaux et thématiques</w:t>
      </w:r>
    </w:p>
    <w:p>
      <w:pPr>
        <w:pStyle w:val="ListParagraph"/>
        <w:numPr>
          <w:ilvl w:val="0"/>
          <w:numId w:val="2"/>
        </w:numPr>
        <w:spacing w:after="60" w:line="260"/>
      </w:pPr>
      <w:r>
        <w:rPr>
          <w:rFonts w:ascii="Calibri" w:cs="Calibri" w:eastAsia="Calibri" w:hAnsi="Calibri"/>
          <w:sz w:val="20"/>
          <w:szCs w:val="20"/>
        </w:rPr>
        <w:t xml:space="preserve">À étudier au cas par cas selon ROI.</w:t>
      </w:r>
    </w:p>
    <w:p>
      <w:pPr>
        <w:pStyle w:val="ListParagraph"/>
        <w:numPr>
          <w:ilvl w:val="0"/>
          <w:numId w:val="2"/>
        </w:numPr>
        <w:spacing w:after="60" w:line="260"/>
      </w:pPr>
      <w:r>
        <w:rPr>
          <w:rFonts w:ascii="Calibri" w:cs="Calibri" w:eastAsia="Calibri" w:hAnsi="Calibri"/>
          <w:sz w:val="20"/>
          <w:szCs w:val="20"/>
        </w:rPr>
        <w:t xml:space="preserve">Privilégier les salons engageants (économie sociale, tourisme durable).</w:t>
      </w:r>
    </w:p>
    <w:p>
      <w:pPr>
        <w:spacing w:after="160" w:before="240"/>
      </w:pPr>
      <w:r>
        <w:rPr>
          <w:rFonts w:ascii="Calibri" w:cs="Calibri" w:eastAsia="Calibri" w:hAnsi="Calibri"/>
          <w:b/>
          <w:bCs/>
          <w:color w:val="1F4E79"/>
          <w:sz w:val="32"/>
          <w:szCs w:val="32"/>
        </w:rPr>
        <w:t xml:space="preserve">6. Modalités d'organisation</w:t>
      </w:r>
    </w:p>
    <w:p>
      <w:pPr>
        <w:spacing w:after="100" w:before="220"/>
      </w:pPr>
      <w:r>
        <w:rPr>
          <w:rFonts w:ascii="Calibri" w:cs="Calibri" w:eastAsia="Calibri" w:hAnsi="Calibri"/>
          <w:b/>
          <w:bCs/>
          <w:color w:val="E87722"/>
          <w:sz w:val="22"/>
          <w:szCs w:val="22"/>
        </w:rPr>
        <w:t xml:space="preserve">6.1. Préparation</w:t>
      </w:r>
    </w:p>
    <w:p>
      <w:pPr>
        <w:pStyle w:val="ListParagraph"/>
        <w:numPr>
          <w:ilvl w:val="0"/>
          <w:numId w:val="2"/>
        </w:numPr>
        <w:spacing w:after="60" w:line="260"/>
      </w:pPr>
      <w:r>
        <w:rPr>
          <w:rFonts w:ascii="Calibri" w:cs="Calibri" w:eastAsia="Calibri" w:hAnsi="Calibri"/>
          <w:sz w:val="20"/>
          <w:szCs w:val="20"/>
        </w:rPr>
        <w:t xml:space="preserve">Brief événement formalisé 60 j avant (objectifs, audience, budget, livrables).</w:t>
      </w:r>
    </w:p>
    <w:p>
      <w:pPr>
        <w:pStyle w:val="ListParagraph"/>
        <w:numPr>
          <w:ilvl w:val="0"/>
          <w:numId w:val="2"/>
        </w:numPr>
        <w:spacing w:after="60" w:line="260"/>
      </w:pPr>
      <w:r>
        <w:rPr>
          <w:rFonts w:ascii="Calibri" w:cs="Calibri" w:eastAsia="Calibri" w:hAnsi="Calibri"/>
          <w:sz w:val="20"/>
          <w:szCs w:val="20"/>
        </w:rPr>
        <w:t xml:space="preserve">Validation Président.</w:t>
      </w:r>
    </w:p>
    <w:p>
      <w:pPr>
        <w:pStyle w:val="ListParagraph"/>
        <w:numPr>
          <w:ilvl w:val="0"/>
          <w:numId w:val="2"/>
        </w:numPr>
        <w:spacing w:after="60" w:line="260"/>
      </w:pPr>
      <w:r>
        <w:rPr>
          <w:rFonts w:ascii="Calibri" w:cs="Calibri" w:eastAsia="Calibri" w:hAnsi="Calibri"/>
          <w:sz w:val="20"/>
          <w:szCs w:val="20"/>
        </w:rPr>
        <w:t xml:space="preserve">Coordination logistique (lieu, catering, technique).</w:t>
      </w:r>
    </w:p>
    <w:p>
      <w:pPr>
        <w:pStyle w:val="ListParagraph"/>
        <w:numPr>
          <w:ilvl w:val="0"/>
          <w:numId w:val="2"/>
        </w:numPr>
        <w:spacing w:after="60" w:line="260"/>
      </w:pPr>
      <w:r>
        <w:rPr>
          <w:rFonts w:ascii="Calibri" w:cs="Calibri" w:eastAsia="Calibri" w:hAnsi="Calibri"/>
          <w:sz w:val="20"/>
          <w:szCs w:val="20"/>
        </w:rPr>
        <w:t xml:space="preserve">Communication : invitations 30 j avant, rappel 7 j avant.</w:t>
      </w:r>
    </w:p>
    <w:p>
      <w:pPr>
        <w:spacing w:after="100" w:before="220"/>
      </w:pPr>
      <w:r>
        <w:rPr>
          <w:rFonts w:ascii="Calibri" w:cs="Calibri" w:eastAsia="Calibri" w:hAnsi="Calibri"/>
          <w:b/>
          <w:bCs/>
          <w:color w:val="E87722"/>
          <w:sz w:val="22"/>
          <w:szCs w:val="22"/>
        </w:rPr>
        <w:t xml:space="preserve">6.2. Pendant l'événement</w:t>
      </w:r>
    </w:p>
    <w:p>
      <w:pPr>
        <w:pStyle w:val="ListParagraph"/>
        <w:numPr>
          <w:ilvl w:val="0"/>
          <w:numId w:val="2"/>
        </w:numPr>
        <w:spacing w:after="60" w:line="260"/>
      </w:pPr>
      <w:r>
        <w:rPr>
          <w:rFonts w:ascii="Calibri" w:cs="Calibri" w:eastAsia="Calibri" w:hAnsi="Calibri"/>
          <w:sz w:val="20"/>
          <w:szCs w:val="20"/>
        </w:rPr>
        <w:t xml:space="preserve">Accueil chaleureux.</w:t>
      </w:r>
    </w:p>
    <w:p>
      <w:pPr>
        <w:pStyle w:val="ListParagraph"/>
        <w:numPr>
          <w:ilvl w:val="0"/>
          <w:numId w:val="2"/>
        </w:numPr>
        <w:spacing w:after="60" w:line="260"/>
      </w:pPr>
      <w:r>
        <w:rPr>
          <w:rFonts w:ascii="Calibri" w:cs="Calibri" w:eastAsia="Calibri" w:hAnsi="Calibri"/>
          <w:sz w:val="20"/>
          <w:szCs w:val="20"/>
        </w:rPr>
        <w:t xml:space="preserve">Photographie/captation avec accord des participants (cohérence RGPD).</w:t>
      </w:r>
    </w:p>
    <w:p>
      <w:pPr>
        <w:pStyle w:val="ListParagraph"/>
        <w:numPr>
          <w:ilvl w:val="0"/>
          <w:numId w:val="2"/>
        </w:numPr>
        <w:spacing w:after="60" w:line="260"/>
      </w:pPr>
      <w:r>
        <w:rPr>
          <w:rFonts w:ascii="Calibri" w:cs="Calibri" w:eastAsia="Calibri" w:hAnsi="Calibri"/>
          <w:sz w:val="20"/>
          <w:szCs w:val="20"/>
        </w:rPr>
        <w:t xml:space="preserve">Modération bienveillante des échanges.</w:t>
      </w:r>
    </w:p>
    <w:p>
      <w:pPr>
        <w:spacing w:after="100" w:before="220"/>
      </w:pPr>
      <w:r>
        <w:rPr>
          <w:rFonts w:ascii="Calibri" w:cs="Calibri" w:eastAsia="Calibri" w:hAnsi="Calibri"/>
          <w:b/>
          <w:bCs/>
          <w:color w:val="E87722"/>
          <w:sz w:val="22"/>
          <w:szCs w:val="22"/>
        </w:rPr>
        <w:t xml:space="preserve">6.3. Après l'événement</w:t>
      </w:r>
    </w:p>
    <w:p>
      <w:pPr>
        <w:pStyle w:val="ListParagraph"/>
        <w:numPr>
          <w:ilvl w:val="0"/>
          <w:numId w:val="2"/>
        </w:numPr>
        <w:spacing w:after="60" w:line="260"/>
      </w:pPr>
      <w:r>
        <w:rPr>
          <w:rFonts w:ascii="Calibri" w:cs="Calibri" w:eastAsia="Calibri" w:hAnsi="Calibri"/>
          <w:sz w:val="20"/>
          <w:szCs w:val="20"/>
        </w:rPr>
        <w:t xml:space="preserve">Email de remerciement personnalisé sous 7 jours.</w:t>
      </w:r>
    </w:p>
    <w:p>
      <w:pPr>
        <w:pStyle w:val="ListParagraph"/>
        <w:numPr>
          <w:ilvl w:val="0"/>
          <w:numId w:val="2"/>
        </w:numPr>
        <w:spacing w:after="60" w:line="260"/>
      </w:pPr>
      <w:r>
        <w:rPr>
          <w:rFonts w:ascii="Calibri" w:cs="Calibri" w:eastAsia="Calibri" w:hAnsi="Calibri"/>
          <w:sz w:val="20"/>
          <w:szCs w:val="20"/>
        </w:rPr>
        <w:t xml:space="preserve">Partage des photos/vidéos (avec accord).</w:t>
      </w:r>
    </w:p>
    <w:p>
      <w:pPr>
        <w:pStyle w:val="ListParagraph"/>
        <w:numPr>
          <w:ilvl w:val="0"/>
          <w:numId w:val="2"/>
        </w:numPr>
        <w:spacing w:after="60" w:line="260"/>
      </w:pPr>
      <w:r>
        <w:rPr>
          <w:rFonts w:ascii="Calibri" w:cs="Calibri" w:eastAsia="Calibri" w:hAnsi="Calibri"/>
          <w:sz w:val="20"/>
          <w:szCs w:val="20"/>
        </w:rPr>
        <w:t xml:space="preserve">Bilan d'impact (NPS participants, ROI commercial, ROI RP).</w:t>
      </w:r>
    </w:p>
    <w:p>
      <w:pPr>
        <w:pStyle w:val="ListParagraph"/>
        <w:numPr>
          <w:ilvl w:val="0"/>
          <w:numId w:val="2"/>
        </w:numPr>
        <w:spacing w:after="60" w:line="260"/>
      </w:pPr>
      <w:r>
        <w:rPr>
          <w:rFonts w:ascii="Calibri" w:cs="Calibri" w:eastAsia="Calibri" w:hAnsi="Calibri"/>
          <w:sz w:val="20"/>
          <w:szCs w:val="20"/>
        </w:rPr>
        <w:t xml:space="preserve">Capitalisation pour futures éditions.</w:t>
      </w:r>
    </w:p>
    <w:p>
      <w:pPr>
        <w:spacing w:after="160" w:before="240"/>
      </w:pPr>
      <w:r>
        <w:rPr>
          <w:rFonts w:ascii="Calibri" w:cs="Calibri" w:eastAsia="Calibri" w:hAnsi="Calibri"/>
          <w:b/>
          <w:bCs/>
          <w:color w:val="1F4E79"/>
          <w:sz w:val="32"/>
          <w:szCs w:val="32"/>
        </w:rPr>
        <w:t xml:space="preserve">7. Budget événements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 d'événement</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Budget par événement</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Nombre / an</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Mardi de l'équipe (interne)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50 € (déjeuner offert)</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Hebdomadaire</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Séminaire trimestriel équipe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1 500-3 000 €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Apéro Eventy Paris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Apéro Eventy province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Réunion partenaires annuelle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5 000 €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Anniversaire Eventy (signature)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15 000-30 000 €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IFTM Top Resa (stand)</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10 000-25 000 €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Salon B2B / CSE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3 000-8 000 €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w:t>
            </w:r>
          </w:p>
        </w:tc>
      </w:tr>
    </w:tbl>
    <w:p>
      <w:pPr>
        <w:spacing w:after="160" w:before="240"/>
      </w:pPr>
      <w:r>
        <w:rPr>
          <w:rFonts w:ascii="Calibri" w:cs="Calibri" w:eastAsia="Calibri" w:hAnsi="Calibri"/>
          <w:b/>
          <w:bCs/>
          <w:color w:val="1F4E79"/>
          <w:sz w:val="32"/>
          <w:szCs w:val="32"/>
        </w:rPr>
        <w:t xml:space="preserve">8. Indicateurs événements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Événements organisés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Participants total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5 000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participants événements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+ 80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Conversion événements → réservations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Mesure indirecte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 structuré</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Articles presse liés événements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Empreinte carbone moyenne / participant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Mesurée et publiée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−25 % vs An 1</w:t>
            </w:r>
          </w:p>
        </w:tc>
      </w:tr>
    </w:tbl>
    <w:p>
      <w:pPr>
        <w:spacing w:after="160" w:before="240"/>
      </w:pPr>
      <w:r>
        <w:rPr>
          <w:rFonts w:ascii="Calibri" w:cs="Calibri" w:eastAsia="Calibri" w:hAnsi="Calibri"/>
          <w:b/>
          <w:bCs/>
          <w:color w:val="1F4E79"/>
          <w:sz w:val="32"/>
          <w:szCs w:val="32"/>
        </w:rPr>
        <w:t xml:space="preserve">9. Engagements éthiques événements</w:t>
      </w:r>
    </w:p>
    <w:p>
      <w:pPr>
        <w:pStyle w:val="ListParagraph"/>
        <w:numPr>
          <w:ilvl w:val="0"/>
          <w:numId w:val="2"/>
        </w:numPr>
        <w:spacing w:after="60" w:line="260"/>
      </w:pPr>
      <w:r>
        <w:rPr>
          <w:rFonts w:ascii="Calibri" w:cs="Calibri" w:eastAsia="Calibri" w:hAnsi="Calibri"/>
          <w:sz w:val="20"/>
          <w:szCs w:val="20"/>
        </w:rPr>
        <w:t xml:space="preserve">Refus du clinquant marketing (sobriété, sens).</w:t>
      </w:r>
    </w:p>
    <w:p>
      <w:pPr>
        <w:pStyle w:val="ListParagraph"/>
        <w:numPr>
          <w:ilvl w:val="0"/>
          <w:numId w:val="2"/>
        </w:numPr>
        <w:spacing w:after="60" w:line="260"/>
      </w:pPr>
      <w:r>
        <w:rPr>
          <w:rFonts w:ascii="Calibri" w:cs="Calibri" w:eastAsia="Calibri" w:hAnsi="Calibri"/>
          <w:sz w:val="20"/>
          <w:szCs w:val="20"/>
        </w:rPr>
        <w:t xml:space="preserve">Catering circuit court systématique.</w:t>
      </w:r>
    </w:p>
    <w:p>
      <w:pPr>
        <w:pStyle w:val="ListParagraph"/>
        <w:numPr>
          <w:ilvl w:val="0"/>
          <w:numId w:val="2"/>
        </w:numPr>
        <w:spacing w:after="60" w:line="260"/>
      </w:pPr>
      <w:r>
        <w:rPr>
          <w:rFonts w:ascii="Calibri" w:cs="Calibri" w:eastAsia="Calibri" w:hAnsi="Calibri"/>
          <w:sz w:val="20"/>
          <w:szCs w:val="20"/>
        </w:rPr>
        <w:t xml:space="preserve">Lieux accessibles PMR (cohérence Politique accessibilité PMR).</w:t>
      </w:r>
    </w:p>
    <w:p>
      <w:pPr>
        <w:pStyle w:val="ListParagraph"/>
        <w:numPr>
          <w:ilvl w:val="0"/>
          <w:numId w:val="2"/>
        </w:numPr>
        <w:spacing w:after="60" w:line="260"/>
      </w:pPr>
      <w:r>
        <w:rPr>
          <w:rFonts w:ascii="Calibri" w:cs="Calibri" w:eastAsia="Calibri" w:hAnsi="Calibri"/>
          <w:sz w:val="20"/>
          <w:szCs w:val="20"/>
        </w:rPr>
        <w:t xml:space="preserve">Mesure et publication de l'empreinte carbone.</w:t>
      </w:r>
    </w:p>
    <w:p>
      <w:pPr>
        <w:pStyle w:val="ListParagraph"/>
        <w:numPr>
          <w:ilvl w:val="0"/>
          <w:numId w:val="2"/>
        </w:numPr>
        <w:spacing w:after="60" w:line="260"/>
      </w:pPr>
      <w:r>
        <w:rPr>
          <w:rFonts w:ascii="Calibri" w:cs="Calibri" w:eastAsia="Calibri" w:hAnsi="Calibri"/>
          <w:sz w:val="20"/>
          <w:szCs w:val="20"/>
        </w:rPr>
        <w:t xml:space="preserve">Refus de la pression commerciale agressive.</w:t>
      </w:r>
    </w:p>
    <w:p>
      <w:pPr>
        <w:pStyle w:val="ListParagraph"/>
        <w:numPr>
          <w:ilvl w:val="0"/>
          <w:numId w:val="2"/>
        </w:numPr>
        <w:spacing w:after="60" w:line="260"/>
      </w:pPr>
      <w:r>
        <w:rPr>
          <w:rFonts w:ascii="Calibri" w:cs="Calibri" w:eastAsia="Calibri" w:hAnsi="Calibri"/>
          <w:sz w:val="20"/>
          <w:szCs w:val="20"/>
        </w:rPr>
        <w:t xml:space="preserve">Confidentialité des participants (cohérence RGPD, accord photo systématique).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télétravail, Plan marketing An 1, Stratégie relations presse, Stratégie réseaux sociaux, Programme de fidélisation Eventy Famille, Politique accessibilité PMR, Charte engagement carbone, Politique RGPD.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d'événements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de gestion d'événements</dc:title>
  <dc:creator>David Eventy — Eventy Life SAS</dc:creator>
  <dc:description>Plan d'événements internes, partenaires, communautaires et institutionnels.</dc:description>
  <cp:lastModifiedBy>Un-named</cp:lastModifiedBy>
  <cp:revision>1</cp:revision>
  <dcterms:created xsi:type="dcterms:W3CDTF">2026-05-02T02:37:43.197Z</dcterms:created>
  <dcterms:modified xsi:type="dcterms:W3CDTF">2026-05-02T02:37:43.197Z</dcterms:modified>
</cp:coreProperties>
</file>

<file path=docProps/custom.xml><?xml version="1.0" encoding="utf-8"?>
<Properties xmlns="http://schemas.openxmlformats.org/officeDocument/2006/custom-properties" xmlns:vt="http://schemas.openxmlformats.org/officeDocument/2006/docPropsVTypes"/>
</file>