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PLAN DE PARTENARIAT UNIVERSITAIRE EVENTY</w:t>
            </w:r>
          </w:p>
          <w:p>
            <w:pPr>
              <w:spacing w:after="0"/>
              <w:jc w:val="center"/>
            </w:pPr>
            <w:r>
              <w:rPr>
                <w:rFonts w:ascii="Calibri" w:cs="Calibri" w:eastAsia="Calibri" w:hAnsi="Calibri"/>
                <w:i/>
                <w:iCs/>
                <w:color w:val="1F4E79"/>
                <w:sz w:val="18"/>
                <w:szCs w:val="18"/>
              </w:rPr>
              <w:t xml:space="preserve">Engagement Eventy avec écoles, universités et formations tourisme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plan formalise la stratégie d'EVENTY LIFE SAS en matière de partenariats avec les établissements d'enseignement supérieur et les centres de formation au tourisme. Il complète le Plan de partenariats institutionnels (qui couvre les acteurs publics et professionnels), la Politique des stagiaires et alternants (qui couvre l'accueil RH) et la Politique de sponsoring et mécénat.</w:t>
      </w:r>
    </w:p>
    <w:p>
      <w:pPr>
        <w:spacing w:after="100" w:line="280"/>
        <w:jc w:val="both"/>
      </w:pPr>
      <w:r>
        <w:rPr>
          <w:rFonts w:ascii="Calibri" w:cs="Calibri" w:eastAsia="Calibri" w:hAnsi="Calibri"/>
          <w:i/>
          <w:iCs/>
          <w:color w:val="1A1A1A"/>
          <w:sz w:val="20"/>
          <w:szCs w:val="20"/>
        </w:rPr>
        <w:t xml:space="preserve">Eventy croit que la formation des futurs acteurs du tourisme est un enjeu collectif. Notre approche : engagement durable avec les écoles, contributions concrètes (interventions, stages qualitatifs, projets pédagogiques), refus de l'instrumentalisation académique. Nous voulons aussi apprendre des étudiants — ils sont l'avenir du secteur.</w:t>
      </w:r>
    </w:p>
    <w:p>
      <w:pPr>
        <w:spacing w:after="160" w:before="240"/>
      </w:pPr>
      <w:r>
        <w:rPr>
          <w:rFonts w:ascii="Calibri" w:cs="Calibri" w:eastAsia="Calibri" w:hAnsi="Calibri"/>
          <w:b/>
          <w:bCs/>
          <w:color w:val="1F4E79"/>
          <w:sz w:val="32"/>
          <w:szCs w:val="32"/>
        </w:rPr>
        <w:t xml:space="preserve">1. Cadre</w:t>
      </w:r>
    </w:p>
    <w:p>
      <w:pPr>
        <w:spacing w:after="100" w:before="220"/>
      </w:pPr>
      <w:r>
        <w:rPr>
          <w:rFonts w:ascii="Calibri" w:cs="Calibri" w:eastAsia="Calibri" w:hAnsi="Calibri"/>
          <w:b/>
          <w:bCs/>
          <w:color w:val="E87722"/>
          <w:sz w:val="22"/>
          <w:szCs w:val="22"/>
        </w:rPr>
        <w:t xml:space="preserve">1.1. Objectifs</w:t>
      </w:r>
    </w:p>
    <w:p>
      <w:pPr>
        <w:pStyle w:val="ListParagraph"/>
        <w:numPr>
          <w:ilvl w:val="0"/>
          <w:numId w:val="2"/>
        </w:numPr>
        <w:spacing w:after="60" w:line="260"/>
      </w:pPr>
      <w:r>
        <w:rPr>
          <w:rFonts w:ascii="Calibri" w:cs="Calibri" w:eastAsia="Calibri" w:hAnsi="Calibri"/>
          <w:sz w:val="20"/>
          <w:szCs w:val="20"/>
        </w:rPr>
        <w:t xml:space="preserve">Contribuer à la formation des futurs acteurs du tourisme.</w:t>
      </w:r>
    </w:p>
    <w:p>
      <w:pPr>
        <w:pStyle w:val="ListParagraph"/>
        <w:numPr>
          <w:ilvl w:val="0"/>
          <w:numId w:val="2"/>
        </w:numPr>
        <w:spacing w:after="60" w:line="260"/>
      </w:pPr>
      <w:r>
        <w:rPr>
          <w:rFonts w:ascii="Calibri" w:cs="Calibri" w:eastAsia="Calibri" w:hAnsi="Calibri"/>
          <w:sz w:val="20"/>
          <w:szCs w:val="20"/>
        </w:rPr>
        <w:t xml:space="preserve">Faire connaître les valeurs Eventy aux nouvelles générations.</w:t>
      </w:r>
    </w:p>
    <w:p>
      <w:pPr>
        <w:pStyle w:val="ListParagraph"/>
        <w:numPr>
          <w:ilvl w:val="0"/>
          <w:numId w:val="2"/>
        </w:numPr>
        <w:spacing w:after="60" w:line="260"/>
      </w:pPr>
      <w:r>
        <w:rPr>
          <w:rFonts w:ascii="Calibri" w:cs="Calibri" w:eastAsia="Calibri" w:hAnsi="Calibri"/>
          <w:sz w:val="20"/>
          <w:szCs w:val="20"/>
        </w:rPr>
        <w:t xml:space="preserve">Recruter des profils alignés (cohérence Procédure de recrutement).</w:t>
      </w:r>
    </w:p>
    <w:p>
      <w:pPr>
        <w:pStyle w:val="ListParagraph"/>
        <w:numPr>
          <w:ilvl w:val="0"/>
          <w:numId w:val="2"/>
        </w:numPr>
        <w:spacing w:after="60" w:line="260"/>
      </w:pPr>
      <w:r>
        <w:rPr>
          <w:rFonts w:ascii="Calibri" w:cs="Calibri" w:eastAsia="Calibri" w:hAnsi="Calibri"/>
          <w:sz w:val="20"/>
          <w:szCs w:val="20"/>
        </w:rPr>
        <w:t xml:space="preserve">Apprendre des étudiants (tendances, attentes, idées).</w:t>
      </w:r>
    </w:p>
    <w:p>
      <w:pPr>
        <w:pStyle w:val="ListParagraph"/>
        <w:numPr>
          <w:ilvl w:val="0"/>
          <w:numId w:val="2"/>
        </w:numPr>
        <w:spacing w:after="60" w:line="260"/>
      </w:pPr>
      <w:r>
        <w:rPr>
          <w:rFonts w:ascii="Calibri" w:cs="Calibri" w:eastAsia="Calibri" w:hAnsi="Calibri"/>
          <w:sz w:val="20"/>
          <w:szCs w:val="20"/>
        </w:rPr>
        <w:t xml:space="preserve">Soutenir la recherche tourisme durable.</w:t>
      </w:r>
    </w:p>
    <w:p>
      <w:pPr>
        <w:spacing w:after="100" w:before="220"/>
      </w:pPr>
      <w:r>
        <w:rPr>
          <w:rFonts w:ascii="Calibri" w:cs="Calibri" w:eastAsia="Calibri" w:hAnsi="Calibri"/>
          <w:b/>
          <w:bCs/>
          <w:color w:val="E87722"/>
          <w:sz w:val="22"/>
          <w:szCs w:val="22"/>
        </w:rPr>
        <w:t xml:space="preserve">1.2. Cinq principes</w:t>
      </w:r>
    </w:p>
    <w:p>
      <w:pPr>
        <w:pStyle w:val="ListParagraph"/>
        <w:numPr>
          <w:ilvl w:val="0"/>
          <w:numId w:val="2"/>
        </w:numPr>
        <w:spacing w:after="60" w:line="260"/>
      </w:pPr>
      <w:r>
        <w:rPr>
          <w:rFonts w:ascii="Calibri" w:cs="Calibri" w:eastAsia="Calibri" w:hAnsi="Calibri"/>
          <w:sz w:val="20"/>
          <w:szCs w:val="20"/>
        </w:rPr>
        <w:t xml:space="preserve">Engagement durable — préférence aux partenariats pluriannuels.</w:t>
      </w:r>
    </w:p>
    <w:p>
      <w:pPr>
        <w:pStyle w:val="ListParagraph"/>
        <w:numPr>
          <w:ilvl w:val="0"/>
          <w:numId w:val="2"/>
        </w:numPr>
        <w:spacing w:after="60" w:line="260"/>
      </w:pPr>
      <w:r>
        <w:rPr>
          <w:rFonts w:ascii="Calibri" w:cs="Calibri" w:eastAsia="Calibri" w:hAnsi="Calibri"/>
          <w:sz w:val="20"/>
          <w:szCs w:val="20"/>
        </w:rPr>
        <w:t xml:space="preserve">Réciprocité — Eventy donne et reçoit.</w:t>
      </w:r>
    </w:p>
    <w:p>
      <w:pPr>
        <w:pStyle w:val="ListParagraph"/>
        <w:numPr>
          <w:ilvl w:val="0"/>
          <w:numId w:val="2"/>
        </w:numPr>
        <w:spacing w:after="60" w:line="260"/>
      </w:pPr>
      <w:r>
        <w:rPr>
          <w:rFonts w:ascii="Calibri" w:cs="Calibri" w:eastAsia="Calibri" w:hAnsi="Calibri"/>
          <w:sz w:val="20"/>
          <w:szCs w:val="20"/>
        </w:rPr>
        <w:t xml:space="preserve">Qualité — refus des stages d'observation passive.</w:t>
      </w:r>
    </w:p>
    <w:p>
      <w:pPr>
        <w:pStyle w:val="ListParagraph"/>
        <w:numPr>
          <w:ilvl w:val="0"/>
          <w:numId w:val="2"/>
        </w:numPr>
        <w:spacing w:after="60" w:line="260"/>
      </w:pPr>
      <w:r>
        <w:rPr>
          <w:rFonts w:ascii="Calibri" w:cs="Calibri" w:eastAsia="Calibri" w:hAnsi="Calibri"/>
          <w:sz w:val="20"/>
          <w:szCs w:val="20"/>
        </w:rPr>
        <w:t xml:space="preserve">Diversité — partenariats avec écoles publiques et privées.</w:t>
      </w:r>
    </w:p>
    <w:p>
      <w:pPr>
        <w:pStyle w:val="ListParagraph"/>
        <w:numPr>
          <w:ilvl w:val="0"/>
          <w:numId w:val="2"/>
        </w:numPr>
        <w:spacing w:after="60" w:line="260"/>
      </w:pPr>
      <w:r>
        <w:rPr>
          <w:rFonts w:ascii="Calibri" w:cs="Calibri" w:eastAsia="Calibri" w:hAnsi="Calibri"/>
          <w:sz w:val="20"/>
          <w:szCs w:val="20"/>
        </w:rPr>
        <w:t xml:space="preserve">Refus de l'instrumentalisation — pas d'utilisation marketing exclusive.</w:t>
      </w:r>
    </w:p>
    <w:p>
      <w:pPr>
        <w:spacing w:after="160" w:before="240"/>
      </w:pPr>
      <w:r>
        <w:rPr>
          <w:rFonts w:ascii="Calibri" w:cs="Calibri" w:eastAsia="Calibri" w:hAnsi="Calibri"/>
          <w:b/>
          <w:bCs/>
          <w:color w:val="1F4E79"/>
          <w:sz w:val="32"/>
          <w:szCs w:val="32"/>
        </w:rPr>
        <w:t xml:space="preserve">2. Établissements cibles</w:t>
      </w:r>
    </w:p>
    <w:p>
      <w:pPr>
        <w:spacing w:after="100" w:before="220"/>
      </w:pPr>
      <w:r>
        <w:rPr>
          <w:rFonts w:ascii="Calibri" w:cs="Calibri" w:eastAsia="Calibri" w:hAnsi="Calibri"/>
          <w:b/>
          <w:bCs/>
          <w:color w:val="E87722"/>
          <w:sz w:val="22"/>
          <w:szCs w:val="22"/>
        </w:rPr>
        <w:t xml:space="preserve">2.1. Universités tourisme et hôtellerie</w:t>
      </w:r>
    </w:p>
    <w:p>
      <w:pPr>
        <w:pStyle w:val="ListParagraph"/>
        <w:numPr>
          <w:ilvl w:val="0"/>
          <w:numId w:val="2"/>
        </w:numPr>
        <w:spacing w:after="60" w:line="260"/>
      </w:pPr>
      <w:r>
        <w:rPr>
          <w:rFonts w:ascii="Calibri" w:cs="Calibri" w:eastAsia="Calibri" w:hAnsi="Calibri"/>
          <w:sz w:val="20"/>
          <w:szCs w:val="20"/>
        </w:rPr>
        <w:t xml:space="preserve">Université Paris 1 Panthéon-Sorbonne — Master Tourisme.</w:t>
      </w:r>
    </w:p>
    <w:p>
      <w:pPr>
        <w:pStyle w:val="ListParagraph"/>
        <w:numPr>
          <w:ilvl w:val="0"/>
          <w:numId w:val="2"/>
        </w:numPr>
        <w:spacing w:after="60" w:line="260"/>
      </w:pPr>
      <w:r>
        <w:rPr>
          <w:rFonts w:ascii="Calibri" w:cs="Calibri" w:eastAsia="Calibri" w:hAnsi="Calibri"/>
          <w:sz w:val="20"/>
          <w:szCs w:val="20"/>
        </w:rPr>
        <w:t xml:space="preserve">Université Toulouse Jean Jaurès — ISTHIA.</w:t>
      </w:r>
    </w:p>
    <w:p>
      <w:pPr>
        <w:pStyle w:val="ListParagraph"/>
        <w:numPr>
          <w:ilvl w:val="0"/>
          <w:numId w:val="2"/>
        </w:numPr>
        <w:spacing w:after="60" w:line="260"/>
      </w:pPr>
      <w:r>
        <w:rPr>
          <w:rFonts w:ascii="Calibri" w:cs="Calibri" w:eastAsia="Calibri" w:hAnsi="Calibri"/>
          <w:sz w:val="20"/>
          <w:szCs w:val="20"/>
        </w:rPr>
        <w:t xml:space="preserve">Université d'Angers — UFR ESTHUA.</w:t>
      </w:r>
    </w:p>
    <w:p>
      <w:pPr>
        <w:pStyle w:val="ListParagraph"/>
        <w:numPr>
          <w:ilvl w:val="0"/>
          <w:numId w:val="2"/>
        </w:numPr>
        <w:spacing w:after="60" w:line="260"/>
      </w:pPr>
      <w:r>
        <w:rPr>
          <w:rFonts w:ascii="Calibri" w:cs="Calibri" w:eastAsia="Calibri" w:hAnsi="Calibri"/>
          <w:sz w:val="20"/>
          <w:szCs w:val="20"/>
        </w:rPr>
        <w:t xml:space="preserve">Université Côte d'Azur — Master Tourisme.</w:t>
      </w:r>
    </w:p>
    <w:p>
      <w:pPr>
        <w:pStyle w:val="ListParagraph"/>
        <w:numPr>
          <w:ilvl w:val="0"/>
          <w:numId w:val="2"/>
        </w:numPr>
        <w:spacing w:after="60" w:line="260"/>
      </w:pPr>
      <w:r>
        <w:rPr>
          <w:rFonts w:ascii="Calibri" w:cs="Calibri" w:eastAsia="Calibri" w:hAnsi="Calibri"/>
          <w:sz w:val="20"/>
          <w:szCs w:val="20"/>
        </w:rPr>
        <w:t xml:space="preserve">Universités régionales avec parcours tourisme.</w:t>
      </w:r>
    </w:p>
    <w:p>
      <w:pPr>
        <w:spacing w:after="100" w:before="220"/>
      </w:pPr>
      <w:r>
        <w:rPr>
          <w:rFonts w:ascii="Calibri" w:cs="Calibri" w:eastAsia="Calibri" w:hAnsi="Calibri"/>
          <w:b/>
          <w:bCs/>
          <w:color w:val="E87722"/>
          <w:sz w:val="22"/>
          <w:szCs w:val="22"/>
        </w:rPr>
        <w:t xml:space="preserve">2.2. Écoles de commerce avec spécialisation tourisme</w:t>
      </w:r>
    </w:p>
    <w:p>
      <w:pPr>
        <w:pStyle w:val="ListParagraph"/>
        <w:numPr>
          <w:ilvl w:val="0"/>
          <w:numId w:val="2"/>
        </w:numPr>
        <w:spacing w:after="60" w:line="260"/>
      </w:pPr>
      <w:r>
        <w:rPr>
          <w:rFonts w:ascii="Calibri" w:cs="Calibri" w:eastAsia="Calibri" w:hAnsi="Calibri"/>
          <w:sz w:val="20"/>
          <w:szCs w:val="20"/>
        </w:rPr>
        <w:t xml:space="preserve">ESSEC — Chaire Tourisme.</w:t>
      </w:r>
    </w:p>
    <w:p>
      <w:pPr>
        <w:pStyle w:val="ListParagraph"/>
        <w:numPr>
          <w:ilvl w:val="0"/>
          <w:numId w:val="2"/>
        </w:numPr>
        <w:spacing w:after="60" w:line="260"/>
      </w:pPr>
      <w:r>
        <w:rPr>
          <w:rFonts w:ascii="Calibri" w:cs="Calibri" w:eastAsia="Calibri" w:hAnsi="Calibri"/>
          <w:sz w:val="20"/>
          <w:szCs w:val="20"/>
        </w:rPr>
        <w:t xml:space="preserve">Vatel.</w:t>
      </w:r>
    </w:p>
    <w:p>
      <w:pPr>
        <w:pStyle w:val="ListParagraph"/>
        <w:numPr>
          <w:ilvl w:val="0"/>
          <w:numId w:val="2"/>
        </w:numPr>
        <w:spacing w:after="60" w:line="260"/>
      </w:pPr>
      <w:r>
        <w:rPr>
          <w:rFonts w:ascii="Calibri" w:cs="Calibri" w:eastAsia="Calibri" w:hAnsi="Calibri"/>
          <w:sz w:val="20"/>
          <w:szCs w:val="20"/>
        </w:rPr>
        <w:t xml:space="preserve">Excelia La Rochelle.</w:t>
      </w:r>
    </w:p>
    <w:p>
      <w:pPr>
        <w:pStyle w:val="ListParagraph"/>
        <w:numPr>
          <w:ilvl w:val="0"/>
          <w:numId w:val="2"/>
        </w:numPr>
        <w:spacing w:after="60" w:line="260"/>
      </w:pPr>
      <w:r>
        <w:rPr>
          <w:rFonts w:ascii="Calibri" w:cs="Calibri" w:eastAsia="Calibri" w:hAnsi="Calibri"/>
          <w:sz w:val="20"/>
          <w:szCs w:val="20"/>
        </w:rPr>
        <w:t xml:space="preserve">Kedge Business School (Bordeaux/Marseille).</w:t>
      </w:r>
    </w:p>
    <w:p>
      <w:pPr>
        <w:spacing w:after="100" w:before="220"/>
      </w:pPr>
      <w:r>
        <w:rPr>
          <w:rFonts w:ascii="Calibri" w:cs="Calibri" w:eastAsia="Calibri" w:hAnsi="Calibri"/>
          <w:b/>
          <w:bCs/>
          <w:color w:val="E87722"/>
          <w:sz w:val="22"/>
          <w:szCs w:val="22"/>
        </w:rPr>
        <w:t xml:space="preserve">2.3. Écoles spécialisées hôtellerie/restauration</w:t>
      </w:r>
    </w:p>
    <w:p>
      <w:pPr>
        <w:pStyle w:val="ListParagraph"/>
        <w:numPr>
          <w:ilvl w:val="0"/>
          <w:numId w:val="2"/>
        </w:numPr>
        <w:spacing w:after="60" w:line="260"/>
      </w:pPr>
      <w:r>
        <w:rPr>
          <w:rFonts w:ascii="Calibri" w:cs="Calibri" w:eastAsia="Calibri" w:hAnsi="Calibri"/>
          <w:sz w:val="20"/>
          <w:szCs w:val="20"/>
        </w:rPr>
        <w:t xml:space="preserve">Institut Paul Bocuse.</w:t>
      </w:r>
    </w:p>
    <w:p>
      <w:pPr>
        <w:pStyle w:val="ListParagraph"/>
        <w:numPr>
          <w:ilvl w:val="0"/>
          <w:numId w:val="2"/>
        </w:numPr>
        <w:spacing w:after="60" w:line="260"/>
      </w:pPr>
      <w:r>
        <w:rPr>
          <w:rFonts w:ascii="Calibri" w:cs="Calibri" w:eastAsia="Calibri" w:hAnsi="Calibri"/>
          <w:sz w:val="20"/>
          <w:szCs w:val="20"/>
        </w:rPr>
        <w:t xml:space="preserve">Ferrandi Paris.</w:t>
      </w:r>
    </w:p>
    <w:p>
      <w:pPr>
        <w:pStyle w:val="ListParagraph"/>
        <w:numPr>
          <w:ilvl w:val="0"/>
          <w:numId w:val="2"/>
        </w:numPr>
        <w:spacing w:after="60" w:line="260"/>
      </w:pPr>
      <w:r>
        <w:rPr>
          <w:rFonts w:ascii="Calibri" w:cs="Calibri" w:eastAsia="Calibri" w:hAnsi="Calibri"/>
          <w:sz w:val="20"/>
          <w:szCs w:val="20"/>
        </w:rPr>
        <w:t xml:space="preserve">École hôtelière de Lausanne (Suisse — cohérence Plan d'expansion internationale).</w:t>
      </w:r>
    </w:p>
    <w:p>
      <w:pPr>
        <w:spacing w:after="100" w:before="220"/>
      </w:pPr>
      <w:r>
        <w:rPr>
          <w:rFonts w:ascii="Calibri" w:cs="Calibri" w:eastAsia="Calibri" w:hAnsi="Calibri"/>
          <w:b/>
          <w:bCs/>
          <w:color w:val="E87722"/>
          <w:sz w:val="22"/>
          <w:szCs w:val="22"/>
        </w:rPr>
        <w:t xml:space="preserve">2.4. Formations digitales et tech</w:t>
      </w:r>
    </w:p>
    <w:p>
      <w:pPr>
        <w:pStyle w:val="ListParagraph"/>
        <w:numPr>
          <w:ilvl w:val="0"/>
          <w:numId w:val="2"/>
        </w:numPr>
        <w:spacing w:after="60" w:line="260"/>
      </w:pPr>
      <w:r>
        <w:rPr>
          <w:rFonts w:ascii="Calibri" w:cs="Calibri" w:eastAsia="Calibri" w:hAnsi="Calibri"/>
          <w:sz w:val="20"/>
          <w:szCs w:val="20"/>
        </w:rPr>
        <w:t xml:space="preserve">Écoles dev (École 42, Epitech, etc.).</w:t>
      </w:r>
    </w:p>
    <w:p>
      <w:pPr>
        <w:pStyle w:val="ListParagraph"/>
        <w:numPr>
          <w:ilvl w:val="0"/>
          <w:numId w:val="2"/>
        </w:numPr>
        <w:spacing w:after="60" w:line="260"/>
      </w:pPr>
      <w:r>
        <w:rPr>
          <w:rFonts w:ascii="Calibri" w:cs="Calibri" w:eastAsia="Calibri" w:hAnsi="Calibri"/>
          <w:sz w:val="20"/>
          <w:szCs w:val="20"/>
        </w:rPr>
        <w:t xml:space="preserve">Bootcamps tech (Le Wagon, Ironhack).</w:t>
      </w:r>
    </w:p>
    <w:p>
      <w:pPr>
        <w:pStyle w:val="ListParagraph"/>
        <w:numPr>
          <w:ilvl w:val="0"/>
          <w:numId w:val="2"/>
        </w:numPr>
        <w:spacing w:after="60" w:line="260"/>
      </w:pPr>
      <w:r>
        <w:rPr>
          <w:rFonts w:ascii="Calibri" w:cs="Calibri" w:eastAsia="Calibri" w:hAnsi="Calibri"/>
          <w:sz w:val="20"/>
          <w:szCs w:val="20"/>
        </w:rPr>
        <w:t xml:space="preserve">Cohérence avec Roadmap technique (recrutement profils dev).</w:t>
      </w:r>
    </w:p>
    <w:p>
      <w:pPr>
        <w:spacing w:after="160" w:before="240"/>
      </w:pPr>
      <w:r>
        <w:rPr>
          <w:rFonts w:ascii="Calibri" w:cs="Calibri" w:eastAsia="Calibri" w:hAnsi="Calibri"/>
          <w:b/>
          <w:bCs/>
          <w:color w:val="1F4E79"/>
          <w:sz w:val="32"/>
          <w:szCs w:val="32"/>
        </w:rPr>
        <w:t xml:space="preserve">3. Types d'engagement</w:t>
      </w:r>
    </w:p>
    <w:p>
      <w:pPr>
        <w:spacing w:after="100" w:before="220"/>
      </w:pPr>
      <w:r>
        <w:rPr>
          <w:rFonts w:ascii="Calibri" w:cs="Calibri" w:eastAsia="Calibri" w:hAnsi="Calibri"/>
          <w:b/>
          <w:bCs/>
          <w:color w:val="E87722"/>
          <w:sz w:val="22"/>
          <w:szCs w:val="22"/>
        </w:rPr>
        <w:t xml:space="preserve">3.1. Niveau 1 — Interventions ponctuelles</w:t>
      </w:r>
    </w:p>
    <w:p>
      <w:pPr>
        <w:pStyle w:val="ListParagraph"/>
        <w:numPr>
          <w:ilvl w:val="0"/>
          <w:numId w:val="2"/>
        </w:numPr>
        <w:spacing w:after="60" w:line="260"/>
      </w:pPr>
      <w:r>
        <w:rPr>
          <w:rFonts w:ascii="Calibri" w:cs="Calibri" w:eastAsia="Calibri" w:hAnsi="Calibri"/>
          <w:sz w:val="20"/>
          <w:szCs w:val="20"/>
        </w:rPr>
        <w:t xml:space="preserve">Conférences invitées sur le tourisme durable.</w:t>
      </w:r>
    </w:p>
    <w:p>
      <w:pPr>
        <w:pStyle w:val="ListParagraph"/>
        <w:numPr>
          <w:ilvl w:val="0"/>
          <w:numId w:val="2"/>
        </w:numPr>
        <w:spacing w:after="60" w:line="260"/>
      </w:pPr>
      <w:r>
        <w:rPr>
          <w:rFonts w:ascii="Calibri" w:cs="Calibri" w:eastAsia="Calibri" w:hAnsi="Calibri"/>
          <w:sz w:val="20"/>
          <w:szCs w:val="20"/>
        </w:rPr>
        <w:t xml:space="preserve">Études de cas Eventy en cours.</w:t>
      </w:r>
    </w:p>
    <w:p>
      <w:pPr>
        <w:pStyle w:val="ListParagraph"/>
        <w:numPr>
          <w:ilvl w:val="0"/>
          <w:numId w:val="2"/>
        </w:numPr>
        <w:spacing w:after="60" w:line="260"/>
      </w:pPr>
      <w:r>
        <w:rPr>
          <w:rFonts w:ascii="Calibri" w:cs="Calibri" w:eastAsia="Calibri" w:hAnsi="Calibri"/>
          <w:sz w:val="20"/>
          <w:szCs w:val="20"/>
        </w:rPr>
        <w:t xml:space="preserve">Tables rondes sur les enjeux tourisme.</w:t>
      </w:r>
    </w:p>
    <w:p>
      <w:pPr>
        <w:pStyle w:val="ListParagraph"/>
        <w:numPr>
          <w:ilvl w:val="0"/>
          <w:numId w:val="2"/>
        </w:numPr>
        <w:spacing w:after="60" w:line="260"/>
      </w:pPr>
      <w:r>
        <w:rPr>
          <w:rFonts w:ascii="Calibri" w:cs="Calibri" w:eastAsia="Calibri" w:hAnsi="Calibri"/>
          <w:sz w:val="20"/>
          <w:szCs w:val="20"/>
        </w:rPr>
        <w:t xml:space="preserve">Pas de rémunération mais pris en charge des frais.</w:t>
      </w:r>
    </w:p>
    <w:p>
      <w:pPr>
        <w:spacing w:after="100" w:before="220"/>
      </w:pPr>
      <w:r>
        <w:rPr>
          <w:rFonts w:ascii="Calibri" w:cs="Calibri" w:eastAsia="Calibri" w:hAnsi="Calibri"/>
          <w:b/>
          <w:bCs/>
          <w:color w:val="E87722"/>
          <w:sz w:val="22"/>
          <w:szCs w:val="22"/>
        </w:rPr>
        <w:t xml:space="preserve">3.2. Niveau 2 — Accueil de stagiaires et alternants</w:t>
      </w:r>
    </w:p>
    <w:p>
      <w:pPr>
        <w:pStyle w:val="ListParagraph"/>
        <w:numPr>
          <w:ilvl w:val="0"/>
          <w:numId w:val="2"/>
        </w:numPr>
        <w:spacing w:after="60" w:line="260"/>
      </w:pPr>
      <w:r>
        <w:rPr>
          <w:rFonts w:ascii="Calibri" w:cs="Calibri" w:eastAsia="Calibri" w:hAnsi="Calibri"/>
          <w:sz w:val="20"/>
          <w:szCs w:val="20"/>
        </w:rPr>
        <w:t xml:space="preserve">Cohérence avec Politique des stagiaires et alternants.</w:t>
      </w:r>
    </w:p>
    <w:p>
      <w:pPr>
        <w:pStyle w:val="ListParagraph"/>
        <w:numPr>
          <w:ilvl w:val="0"/>
          <w:numId w:val="2"/>
        </w:numPr>
        <w:spacing w:after="60" w:line="260"/>
      </w:pPr>
      <w:r>
        <w:rPr>
          <w:rFonts w:ascii="Calibri" w:cs="Calibri" w:eastAsia="Calibri" w:hAnsi="Calibri"/>
          <w:sz w:val="20"/>
          <w:szCs w:val="20"/>
        </w:rPr>
        <w:t xml:space="preserve">Sujets concrets, mentorat de qualité.</w:t>
      </w:r>
    </w:p>
    <w:p>
      <w:pPr>
        <w:pStyle w:val="ListParagraph"/>
        <w:numPr>
          <w:ilvl w:val="0"/>
          <w:numId w:val="2"/>
        </w:numPr>
        <w:spacing w:after="60" w:line="260"/>
      </w:pPr>
      <w:r>
        <w:rPr>
          <w:rFonts w:ascii="Calibri" w:cs="Calibri" w:eastAsia="Calibri" w:hAnsi="Calibri"/>
          <w:sz w:val="20"/>
          <w:szCs w:val="20"/>
        </w:rPr>
        <w:t xml:space="preserve">Refus des stages d'observation passive.</w:t>
      </w:r>
    </w:p>
    <w:p>
      <w:pPr>
        <w:pStyle w:val="ListParagraph"/>
        <w:numPr>
          <w:ilvl w:val="0"/>
          <w:numId w:val="2"/>
        </w:numPr>
        <w:spacing w:after="60" w:line="260"/>
      </w:pPr>
      <w:r>
        <w:rPr>
          <w:rFonts w:ascii="Calibri" w:cs="Calibri" w:eastAsia="Calibri" w:hAnsi="Calibri"/>
          <w:sz w:val="20"/>
          <w:szCs w:val="20"/>
        </w:rPr>
        <w:t xml:space="preserve">Possibilité d'embauche post-stage.</w:t>
      </w:r>
    </w:p>
    <w:p>
      <w:pPr>
        <w:spacing w:after="100" w:before="220"/>
      </w:pPr>
      <w:r>
        <w:rPr>
          <w:rFonts w:ascii="Calibri" w:cs="Calibri" w:eastAsia="Calibri" w:hAnsi="Calibri"/>
          <w:b/>
          <w:bCs/>
          <w:color w:val="E87722"/>
          <w:sz w:val="22"/>
          <w:szCs w:val="22"/>
        </w:rPr>
        <w:t xml:space="preserve">3.3. Niveau 3 — Projets pédagogiques structurés</w:t>
      </w:r>
    </w:p>
    <w:p>
      <w:pPr>
        <w:pStyle w:val="ListParagraph"/>
        <w:numPr>
          <w:ilvl w:val="0"/>
          <w:numId w:val="2"/>
        </w:numPr>
        <w:spacing w:after="60" w:line="260"/>
      </w:pPr>
      <w:r>
        <w:rPr>
          <w:rFonts w:ascii="Calibri" w:cs="Calibri" w:eastAsia="Calibri" w:hAnsi="Calibri"/>
          <w:sz w:val="20"/>
          <w:szCs w:val="20"/>
        </w:rPr>
        <w:t xml:space="preserve">Projets de fin d'études confiés à des groupes d'étudiants.</w:t>
      </w:r>
    </w:p>
    <w:p>
      <w:pPr>
        <w:pStyle w:val="ListParagraph"/>
        <w:numPr>
          <w:ilvl w:val="0"/>
          <w:numId w:val="2"/>
        </w:numPr>
        <w:spacing w:after="60" w:line="260"/>
      </w:pPr>
      <w:r>
        <w:rPr>
          <w:rFonts w:ascii="Calibri" w:cs="Calibri" w:eastAsia="Calibri" w:hAnsi="Calibri"/>
          <w:sz w:val="20"/>
          <w:szCs w:val="20"/>
        </w:rPr>
        <w:t xml:space="preserve">Sujets : étude marché, conception voyage, audit RSE.</w:t>
      </w:r>
    </w:p>
    <w:p>
      <w:pPr>
        <w:pStyle w:val="ListParagraph"/>
        <w:numPr>
          <w:ilvl w:val="0"/>
          <w:numId w:val="2"/>
        </w:numPr>
        <w:spacing w:after="60" w:line="260"/>
      </w:pPr>
      <w:r>
        <w:rPr>
          <w:rFonts w:ascii="Calibri" w:cs="Calibri" w:eastAsia="Calibri" w:hAnsi="Calibri"/>
          <w:sz w:val="20"/>
          <w:szCs w:val="20"/>
        </w:rPr>
        <w:t xml:space="preserve">Restitution finale avec implication équipe Eventy.</w:t>
      </w:r>
    </w:p>
    <w:p>
      <w:pPr>
        <w:pStyle w:val="ListParagraph"/>
        <w:numPr>
          <w:ilvl w:val="0"/>
          <w:numId w:val="2"/>
        </w:numPr>
        <w:spacing w:after="60" w:line="260"/>
      </w:pPr>
      <w:r>
        <w:rPr>
          <w:rFonts w:ascii="Calibri" w:cs="Calibri" w:eastAsia="Calibri" w:hAnsi="Calibri"/>
          <w:sz w:val="20"/>
          <w:szCs w:val="20"/>
        </w:rPr>
        <w:t xml:space="preserve">Indemnisation collective (1 000-3 000 € par projet).</w:t>
      </w:r>
    </w:p>
    <w:p>
      <w:pPr>
        <w:spacing w:after="100" w:before="220"/>
      </w:pPr>
      <w:r>
        <w:rPr>
          <w:rFonts w:ascii="Calibri" w:cs="Calibri" w:eastAsia="Calibri" w:hAnsi="Calibri"/>
          <w:b/>
          <w:bCs/>
          <w:color w:val="E87722"/>
          <w:sz w:val="22"/>
          <w:szCs w:val="22"/>
        </w:rPr>
        <w:t xml:space="preserve">3.4. Niveau 4 — Chaire ou partenariat structurant</w:t>
      </w:r>
    </w:p>
    <w:p>
      <w:pPr>
        <w:pStyle w:val="ListParagraph"/>
        <w:numPr>
          <w:ilvl w:val="0"/>
          <w:numId w:val="2"/>
        </w:numPr>
        <w:spacing w:after="60" w:line="260"/>
      </w:pPr>
      <w:r>
        <w:rPr>
          <w:rFonts w:ascii="Calibri" w:cs="Calibri" w:eastAsia="Calibri" w:hAnsi="Calibri"/>
          <w:sz w:val="20"/>
          <w:szCs w:val="20"/>
        </w:rPr>
        <w:t xml:space="preserve">Cible An 4-5 : possibilité de chaire Eventy / Tourisme transparent.</w:t>
      </w:r>
    </w:p>
    <w:p>
      <w:pPr>
        <w:pStyle w:val="ListParagraph"/>
        <w:numPr>
          <w:ilvl w:val="0"/>
          <w:numId w:val="2"/>
        </w:numPr>
        <w:spacing w:after="60" w:line="260"/>
      </w:pPr>
      <w:r>
        <w:rPr>
          <w:rFonts w:ascii="Calibri" w:cs="Calibri" w:eastAsia="Calibri" w:hAnsi="Calibri"/>
          <w:sz w:val="20"/>
          <w:szCs w:val="20"/>
        </w:rPr>
        <w:t xml:space="preserve">Co-financement de bourses pour étudiants méritants.</w:t>
      </w:r>
    </w:p>
    <w:p>
      <w:pPr>
        <w:pStyle w:val="ListParagraph"/>
        <w:numPr>
          <w:ilvl w:val="0"/>
          <w:numId w:val="2"/>
        </w:numPr>
        <w:spacing w:after="60" w:line="260"/>
      </w:pPr>
      <w:r>
        <w:rPr>
          <w:rFonts w:ascii="Calibri" w:cs="Calibri" w:eastAsia="Calibri" w:hAnsi="Calibri"/>
          <w:sz w:val="20"/>
          <w:szCs w:val="20"/>
        </w:rPr>
        <w:t xml:space="preserve">Soutien à des programmes de recherche.</w:t>
      </w:r>
    </w:p>
    <w:p>
      <w:pPr>
        <w:pStyle w:val="ListParagraph"/>
        <w:numPr>
          <w:ilvl w:val="0"/>
          <w:numId w:val="2"/>
        </w:numPr>
        <w:spacing w:after="60" w:line="260"/>
      </w:pPr>
      <w:r>
        <w:rPr>
          <w:rFonts w:ascii="Calibri" w:cs="Calibri" w:eastAsia="Calibri" w:hAnsi="Calibri"/>
          <w:sz w:val="20"/>
          <w:szCs w:val="20"/>
        </w:rPr>
        <w:t xml:space="preserve">Validation associés (cohérence Pacte associés Seed) — engagement pluriannuel.</w:t>
      </w:r>
    </w:p>
    <w:p>
      <w:pPr>
        <w:spacing w:after="160" w:before="240"/>
      </w:pPr>
      <w:r>
        <w:rPr>
          <w:rFonts w:ascii="Calibri" w:cs="Calibri" w:eastAsia="Calibri" w:hAnsi="Calibri"/>
          <w:b/>
          <w:bCs/>
          <w:color w:val="1F4E79"/>
          <w:sz w:val="32"/>
          <w:szCs w:val="32"/>
        </w:rPr>
        <w:t xml:space="preserve">4. Calendrier de déploiement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Période</w:t>
            </w:r>
          </w:p>
        </w:tc>
        <w:tc>
          <w:tcPr>
            <w:tcW w:type="dxa" w:w="561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Engagements</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 1</w:t>
            </w:r>
          </w:p>
        </w:tc>
        <w:tc>
          <w:tcPr>
            <w:tcW w:type="dxa" w:w="561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1-2 conférences invitées / an, premiers stages qualitatifs</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 2</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Convention avec 2-3 universités, alternants tech (cohérence Roadmap technique)</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 3</w:t>
            </w:r>
          </w:p>
        </w:tc>
        <w:tc>
          <w:tcPr>
            <w:tcW w:type="dxa" w:w="561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universités partenaires, projets pédagogiques structurés</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 4</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Étude chaire Eventy / Tourisme transparent</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 5</w:t>
            </w:r>
          </w:p>
        </w:tc>
        <w:tc>
          <w:tcPr>
            <w:tcW w:type="dxa" w:w="561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Chaire active + bourses étudiantes</w:t>
            </w:r>
          </w:p>
        </w:tc>
      </w:tr>
    </w:tbl>
    <w:p>
      <w:pPr>
        <w:spacing w:after="160" w:before="240"/>
      </w:pPr>
      <w:r>
        <w:rPr>
          <w:rFonts w:ascii="Calibri" w:cs="Calibri" w:eastAsia="Calibri" w:hAnsi="Calibri"/>
          <w:b/>
          <w:bCs/>
          <w:color w:val="1F4E79"/>
          <w:sz w:val="32"/>
          <w:szCs w:val="32"/>
        </w:rPr>
        <w:t xml:space="preserve">5. Engagements éthiques</w:t>
      </w:r>
    </w:p>
    <w:p>
      <w:pPr>
        <w:pStyle w:val="ListParagraph"/>
        <w:numPr>
          <w:ilvl w:val="0"/>
          <w:numId w:val="2"/>
        </w:numPr>
        <w:spacing w:after="60" w:line="260"/>
      </w:pPr>
      <w:r>
        <w:rPr>
          <w:rFonts w:ascii="Calibri" w:cs="Calibri" w:eastAsia="Calibri" w:hAnsi="Calibri"/>
          <w:sz w:val="20"/>
          <w:szCs w:val="20"/>
        </w:rPr>
        <w:t xml:space="preserve">Refus de l'instrumentalisation marketing du partenariat.</w:t>
      </w:r>
    </w:p>
    <w:p>
      <w:pPr>
        <w:pStyle w:val="ListParagraph"/>
        <w:numPr>
          <w:ilvl w:val="0"/>
          <w:numId w:val="2"/>
        </w:numPr>
        <w:spacing w:after="60" w:line="260"/>
      </w:pPr>
      <w:r>
        <w:rPr>
          <w:rFonts w:ascii="Calibri" w:cs="Calibri" w:eastAsia="Calibri" w:hAnsi="Calibri"/>
          <w:sz w:val="20"/>
          <w:szCs w:val="20"/>
        </w:rPr>
        <w:t xml:space="preserve">Refus du recrutement déguisé via stages.</w:t>
      </w:r>
    </w:p>
    <w:p>
      <w:pPr>
        <w:pStyle w:val="ListParagraph"/>
        <w:numPr>
          <w:ilvl w:val="0"/>
          <w:numId w:val="2"/>
        </w:numPr>
        <w:spacing w:after="60" w:line="260"/>
      </w:pPr>
      <w:r>
        <w:rPr>
          <w:rFonts w:ascii="Calibri" w:cs="Calibri" w:eastAsia="Calibri" w:hAnsi="Calibri"/>
          <w:sz w:val="20"/>
          <w:szCs w:val="20"/>
        </w:rPr>
        <w:t xml:space="preserve">Stages indemnisés équitablement (≥ minimum légal).</w:t>
      </w:r>
    </w:p>
    <w:p>
      <w:pPr>
        <w:pStyle w:val="ListParagraph"/>
        <w:numPr>
          <w:ilvl w:val="0"/>
          <w:numId w:val="2"/>
        </w:numPr>
        <w:spacing w:after="60" w:line="260"/>
      </w:pPr>
      <w:r>
        <w:rPr>
          <w:rFonts w:ascii="Calibri" w:cs="Calibri" w:eastAsia="Calibri" w:hAnsi="Calibri"/>
          <w:sz w:val="20"/>
          <w:szCs w:val="20"/>
        </w:rPr>
        <w:t xml:space="preserve">Encadrement de qualité par des collaborateurs disponibles.</w:t>
      </w:r>
    </w:p>
    <w:p>
      <w:pPr>
        <w:pStyle w:val="ListParagraph"/>
        <w:numPr>
          <w:ilvl w:val="0"/>
          <w:numId w:val="2"/>
        </w:numPr>
        <w:spacing w:after="60" w:line="260"/>
      </w:pPr>
      <w:r>
        <w:rPr>
          <w:rFonts w:ascii="Calibri" w:cs="Calibri" w:eastAsia="Calibri" w:hAnsi="Calibri"/>
          <w:sz w:val="20"/>
          <w:szCs w:val="20"/>
        </w:rPr>
        <w:t xml:space="preserve">Refus des partenariats avec écoles aux pratiques discriminatoires.</w:t>
      </w:r>
    </w:p>
    <w:p>
      <w:pPr>
        <w:pStyle w:val="ListParagraph"/>
        <w:numPr>
          <w:ilvl w:val="0"/>
          <w:numId w:val="2"/>
        </w:numPr>
        <w:spacing w:after="60" w:line="260"/>
      </w:pPr>
      <w:r>
        <w:rPr>
          <w:rFonts w:ascii="Calibri" w:cs="Calibri" w:eastAsia="Calibri" w:hAnsi="Calibri"/>
          <w:sz w:val="20"/>
          <w:szCs w:val="20"/>
        </w:rPr>
        <w:t xml:space="preserve">Refus de l'imposition d'orientations académiques.</w:t>
      </w:r>
    </w:p>
    <w:p>
      <w:pPr>
        <w:spacing w:after="160" w:before="240"/>
      </w:pPr>
      <w:r>
        <w:rPr>
          <w:rFonts w:ascii="Calibri" w:cs="Calibri" w:eastAsia="Calibri" w:hAnsi="Calibri"/>
          <w:b/>
          <w:bCs/>
          <w:color w:val="1F4E79"/>
          <w:sz w:val="32"/>
          <w:szCs w:val="32"/>
        </w:rPr>
        <w:t xml:space="preserve">6. Modalités contractuelles</w:t>
      </w:r>
    </w:p>
    <w:p>
      <w:pPr>
        <w:pStyle w:val="ListParagraph"/>
        <w:numPr>
          <w:ilvl w:val="0"/>
          <w:numId w:val="2"/>
        </w:numPr>
        <w:spacing w:after="60" w:line="260"/>
      </w:pPr>
      <w:r>
        <w:rPr>
          <w:rFonts w:ascii="Calibri" w:cs="Calibri" w:eastAsia="Calibri" w:hAnsi="Calibri"/>
          <w:sz w:val="20"/>
          <w:szCs w:val="20"/>
        </w:rPr>
        <w:t xml:space="preserve">Convention de partenariat formalisée.</w:t>
      </w:r>
    </w:p>
    <w:p>
      <w:pPr>
        <w:pStyle w:val="ListParagraph"/>
        <w:numPr>
          <w:ilvl w:val="0"/>
          <w:numId w:val="2"/>
        </w:numPr>
        <w:spacing w:after="60" w:line="260"/>
      </w:pPr>
      <w:r>
        <w:rPr>
          <w:rFonts w:ascii="Calibri" w:cs="Calibri" w:eastAsia="Calibri" w:hAnsi="Calibri"/>
          <w:sz w:val="20"/>
          <w:szCs w:val="20"/>
        </w:rPr>
        <w:t xml:space="preserve">Cohérence avec Plan de partenariats institutionnels.</w:t>
      </w:r>
    </w:p>
    <w:p>
      <w:pPr>
        <w:pStyle w:val="ListParagraph"/>
        <w:numPr>
          <w:ilvl w:val="0"/>
          <w:numId w:val="2"/>
        </w:numPr>
        <w:spacing w:after="60" w:line="260"/>
      </w:pPr>
      <w:r>
        <w:rPr>
          <w:rFonts w:ascii="Calibri" w:cs="Calibri" w:eastAsia="Calibri" w:hAnsi="Calibri"/>
          <w:sz w:val="20"/>
          <w:szCs w:val="20"/>
        </w:rPr>
        <w:t xml:space="preserve">Renouvellement annuel (cohérence Procédure d'amélioration continue).</w:t>
      </w:r>
    </w:p>
    <w:p>
      <w:pPr>
        <w:pStyle w:val="ListParagraph"/>
        <w:numPr>
          <w:ilvl w:val="0"/>
          <w:numId w:val="2"/>
        </w:numPr>
        <w:spacing w:after="60" w:line="260"/>
      </w:pPr>
      <w:r>
        <w:rPr>
          <w:rFonts w:ascii="Calibri" w:cs="Calibri" w:eastAsia="Calibri" w:hAnsi="Calibri"/>
          <w:sz w:val="20"/>
          <w:szCs w:val="20"/>
        </w:rPr>
        <w:t xml:space="preserve">Reporting annuel des actions menées.</w:t>
      </w:r>
    </w:p>
    <w:p>
      <w:pPr>
        <w:pStyle w:val="ListParagraph"/>
        <w:numPr>
          <w:ilvl w:val="0"/>
          <w:numId w:val="2"/>
        </w:numPr>
        <w:spacing w:after="60" w:line="260"/>
      </w:pPr>
      <w:r>
        <w:rPr>
          <w:rFonts w:ascii="Calibri" w:cs="Calibri" w:eastAsia="Calibri" w:hAnsi="Calibri"/>
          <w:sz w:val="20"/>
          <w:szCs w:val="20"/>
        </w:rPr>
        <w:t xml:space="preserve">Clause de confidentialité (NDA) si information sensible.</w:t>
      </w:r>
    </w:p>
    <w:p>
      <w:pPr>
        <w:spacing w:after="160" w:before="240"/>
      </w:pPr>
      <w:r>
        <w:rPr>
          <w:rFonts w:ascii="Calibri" w:cs="Calibri" w:eastAsia="Calibri" w:hAnsi="Calibri"/>
          <w:b/>
          <w:bCs/>
          <w:color w:val="1F4E79"/>
          <w:sz w:val="32"/>
          <w:szCs w:val="32"/>
        </w:rPr>
        <w:t xml:space="preserve">7.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Universités partenaires actives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Conférences / interventions / an</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Stagiaires accueillis / an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Alternants / an</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Projets pédagogiques structurés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Embauches post-stage / alternance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Suivi</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30 % conversion</w:t>
            </w:r>
          </w:p>
        </w:tc>
      </w:tr>
    </w:tbl>
    <w:p>
      <w:pPr>
        <w:spacing w:after="160" w:before="240"/>
      </w:pPr>
      <w:r>
        <w:rPr>
          <w:rFonts w:ascii="Calibri" w:cs="Calibri" w:eastAsia="Calibri" w:hAnsi="Calibri"/>
          <w:b/>
          <w:bCs/>
          <w:color w:val="1F4E79"/>
          <w:sz w:val="32"/>
          <w:szCs w:val="32"/>
        </w:rPr>
        <w:t xml:space="preserve">8. Engagements opposables</w:t>
      </w:r>
    </w:p>
    <w:p>
      <w:pPr>
        <w:pStyle w:val="ListParagraph"/>
        <w:numPr>
          <w:ilvl w:val="0"/>
          <w:numId w:val="2"/>
        </w:numPr>
        <w:spacing w:after="60" w:line="260"/>
      </w:pPr>
      <w:r>
        <w:rPr>
          <w:rFonts w:ascii="Calibri" w:cs="Calibri" w:eastAsia="Calibri" w:hAnsi="Calibri"/>
          <w:sz w:val="20"/>
          <w:szCs w:val="20"/>
        </w:rPr>
        <w:t xml:space="preserve">Pluriannualité des partenariats majeurs (≥ 3 ans).</w:t>
      </w:r>
    </w:p>
    <w:p>
      <w:pPr>
        <w:pStyle w:val="ListParagraph"/>
        <w:numPr>
          <w:ilvl w:val="0"/>
          <w:numId w:val="2"/>
        </w:numPr>
        <w:spacing w:after="60" w:line="260"/>
      </w:pPr>
      <w:r>
        <w:rPr>
          <w:rFonts w:ascii="Calibri" w:cs="Calibri" w:eastAsia="Calibri" w:hAnsi="Calibri"/>
          <w:sz w:val="20"/>
          <w:szCs w:val="20"/>
        </w:rPr>
        <w:t xml:space="preserve">Indemnisation juste des stagiaires/alternants.</w:t>
      </w:r>
    </w:p>
    <w:p>
      <w:pPr>
        <w:pStyle w:val="ListParagraph"/>
        <w:numPr>
          <w:ilvl w:val="0"/>
          <w:numId w:val="2"/>
        </w:numPr>
        <w:spacing w:after="60" w:line="260"/>
      </w:pPr>
      <w:r>
        <w:rPr>
          <w:rFonts w:ascii="Calibri" w:cs="Calibri" w:eastAsia="Calibri" w:hAnsi="Calibri"/>
          <w:sz w:val="20"/>
          <w:szCs w:val="20"/>
        </w:rPr>
        <w:t xml:space="preserve">Refus des stages low-cost extractifs.</w:t>
      </w:r>
    </w:p>
    <w:p>
      <w:pPr>
        <w:pStyle w:val="ListParagraph"/>
        <w:numPr>
          <w:ilvl w:val="0"/>
          <w:numId w:val="2"/>
        </w:numPr>
        <w:spacing w:after="60" w:line="260"/>
      </w:pPr>
      <w:r>
        <w:rPr>
          <w:rFonts w:ascii="Calibri" w:cs="Calibri" w:eastAsia="Calibri" w:hAnsi="Calibri"/>
          <w:sz w:val="20"/>
          <w:szCs w:val="20"/>
        </w:rPr>
        <w:t xml:space="preserve">Encadrement de qualité (mentor dédié).</w:t>
      </w:r>
    </w:p>
    <w:p>
      <w:pPr>
        <w:pStyle w:val="ListParagraph"/>
        <w:numPr>
          <w:ilvl w:val="0"/>
          <w:numId w:val="2"/>
        </w:numPr>
        <w:spacing w:after="60" w:line="260"/>
      </w:pPr>
      <w:r>
        <w:rPr>
          <w:rFonts w:ascii="Calibri" w:cs="Calibri" w:eastAsia="Calibri" w:hAnsi="Calibri"/>
          <w:sz w:val="20"/>
          <w:szCs w:val="20"/>
        </w:rPr>
        <w:t xml:space="preserve">Reporting annuel transparent.</w:t>
      </w:r>
    </w:p>
    <w:p>
      <w:pPr>
        <w:pStyle w:val="ListParagraph"/>
        <w:numPr>
          <w:ilvl w:val="0"/>
          <w:numId w:val="2"/>
        </w:numPr>
        <w:spacing w:after="60" w:line="260"/>
      </w:pPr>
      <w:r>
        <w:rPr>
          <w:rFonts w:ascii="Calibri" w:cs="Calibri" w:eastAsia="Calibri" w:hAnsi="Calibri"/>
          <w:sz w:val="20"/>
          <w:szCs w:val="20"/>
        </w:rPr>
        <w:t xml:space="preserve">Diversité des partenaires (publics / privés / professionnels).</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Version 1.0 — 2 mai 2026. Mise à jour annuelle.</w:t>
      </w:r>
    </w:p>
    <w:p>
      <w:pPr>
        <w:spacing w:after="100" w:line="280"/>
        <w:jc w:val="both"/>
      </w:pPr>
      <w:r>
        <w:rPr>
          <w:rFonts w:ascii="Calibri" w:cs="Calibri" w:eastAsia="Calibri" w:hAnsi="Calibri"/>
          <w:i/>
          <w:iCs/>
          <w:color w:val="555555"/>
          <w:sz w:val="18"/>
          <w:szCs w:val="18"/>
        </w:rPr>
        <w:t xml:space="preserve">Cohérence avec : Plan de partenariats institutionnels, Politique des stagiaires et alternants, Politique de sponsoring et mécénat, Procédure de recrutement, Roadmap technique, Plan stratégique 5 ans, Pacte d'associés Seed, Politique RSE, Charte d'inclusion et diversité.</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Plan partenariat universitaire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Plan de partenariat universitaire et formation tourisme</dc:title>
  <dc:creator>David Eventy — Eventy Life SAS</dc:creator>
  <dc:description>Engagement Eventy avec écoles, universités et formations tourisme.</dc:description>
  <cp:lastModifiedBy>Un-named</cp:lastModifiedBy>
  <cp:revision>1</cp:revision>
  <dcterms:created xsi:type="dcterms:W3CDTF">2026-05-02T05:53:07.056Z</dcterms:created>
  <dcterms:modified xsi:type="dcterms:W3CDTF">2026-05-02T05:53:07.057Z</dcterms:modified>
</cp:coreProperties>
</file>

<file path=docProps/custom.xml><?xml version="1.0" encoding="utf-8"?>
<Properties xmlns="http://schemas.openxmlformats.org/officeDocument/2006/custom-properties" xmlns:vt="http://schemas.openxmlformats.org/officeDocument/2006/docPropsVTypes"/>
</file>