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 GESTION DES AVOIRS ET REMBOURSEMENTS</w:t>
            </w:r>
          </w:p>
          <w:p>
            <w:pPr>
              <w:spacing w:after="0"/>
              <w:jc w:val="center"/>
            </w:pPr>
            <w:r>
              <w:rPr>
                <w:rFonts w:ascii="Calibri" w:cs="Calibri" w:eastAsia="Calibri" w:hAnsi="Calibri"/>
                <w:i/>
                <w:iCs/>
                <w:color w:val="1F4E79"/>
                <w:sz w:val="18"/>
                <w:szCs w:val="18"/>
              </w:rPr>
              <w:t xml:space="preserve">Règles de remboursement et avoirs voyageurs Eventy Life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la gestion des avoirs et remboursements voyageurs chez EVENTY LIFE SAS. Elle complète les CGV (qui posent le cadre contractuel), la Procédure de réclamation détaillée (qui couvre le traitement des réclamations) et le Programme de fidélisation Eventy Famille (qui couvre les avoirs parrain). Elle précise les règles concrètes appliquées par l'équipe au quotidien.</w:t>
      </w:r>
    </w:p>
    <w:p>
      <w:pPr>
        <w:spacing w:after="100" w:line="280"/>
        <w:jc w:val="both"/>
      </w:pPr>
      <w:r>
        <w:rPr>
          <w:rFonts w:ascii="Calibri" w:cs="Calibri" w:eastAsia="Calibri" w:hAnsi="Calibri"/>
          <w:i/>
          <w:iCs/>
          <w:color w:val="1A1A1A"/>
          <w:sz w:val="20"/>
          <w:szCs w:val="20"/>
        </w:rPr>
        <w:t xml:space="preserve">Eventy adopte une approche claire : remboursement rapide quand il est dû, avoir voyage attractif quand c'est cohérent, refus du « avoir forcé » qui pénalise le voyageur. Notre philosophie : un voyageur traité justement aujourd'hui est un voyageur fidèle demain. La politique de remboursement n'est pas un coût, c'est un investissement dans la confiance.</w:t>
      </w:r>
    </w:p>
    <w:p>
      <w:pPr>
        <w:spacing w:after="160" w:before="240"/>
      </w:pPr>
      <w:r>
        <w:rPr>
          <w:rFonts w:ascii="Calibri" w:cs="Calibri" w:eastAsia="Calibri" w:hAnsi="Calibri"/>
          <w:b/>
          <w:bCs/>
          <w:color w:val="1F4E79"/>
          <w:sz w:val="32"/>
          <w:szCs w:val="32"/>
        </w:rPr>
        <w:t xml:space="preserve">1. Cadre légal de référence</w:t>
      </w:r>
    </w:p>
    <w:p>
      <w:pPr>
        <w:pStyle w:val="ListParagraph"/>
        <w:numPr>
          <w:ilvl w:val="0"/>
          <w:numId w:val="2"/>
        </w:numPr>
        <w:spacing w:after="60" w:line="260"/>
      </w:pPr>
      <w:r>
        <w:rPr>
          <w:rFonts w:ascii="Calibri" w:cs="Calibri" w:eastAsia="Calibri" w:hAnsi="Calibri"/>
          <w:sz w:val="20"/>
          <w:szCs w:val="20"/>
        </w:rPr>
        <w:t xml:space="preserve">Articles L211-14 et L211-15 du Code du tourisme — droit de rétractation et résolution.</w:t>
      </w:r>
    </w:p>
    <w:p>
      <w:pPr>
        <w:pStyle w:val="ListParagraph"/>
        <w:numPr>
          <w:ilvl w:val="0"/>
          <w:numId w:val="2"/>
        </w:numPr>
        <w:spacing w:after="60" w:line="260"/>
      </w:pPr>
      <w:r>
        <w:rPr>
          <w:rFonts w:ascii="Calibri" w:cs="Calibri" w:eastAsia="Calibri" w:hAnsi="Calibri"/>
          <w:sz w:val="20"/>
          <w:szCs w:val="20"/>
        </w:rPr>
        <w:t xml:space="preserve">Article L211-13 — modification du forfait par l'opérateur.</w:t>
      </w:r>
    </w:p>
    <w:p>
      <w:pPr>
        <w:pStyle w:val="ListParagraph"/>
        <w:numPr>
          <w:ilvl w:val="0"/>
          <w:numId w:val="2"/>
        </w:numPr>
        <w:spacing w:after="60" w:line="260"/>
      </w:pPr>
      <w:r>
        <w:rPr>
          <w:rFonts w:ascii="Calibri" w:cs="Calibri" w:eastAsia="Calibri" w:hAnsi="Calibri"/>
          <w:sz w:val="20"/>
          <w:szCs w:val="20"/>
        </w:rPr>
        <w:t xml:space="preserve">Directive (UE) 2015/2302 — droits des voyageurs en cas d'annulation.</w:t>
      </w:r>
    </w:p>
    <w:p>
      <w:pPr>
        <w:pStyle w:val="ListParagraph"/>
        <w:numPr>
          <w:ilvl w:val="0"/>
          <w:numId w:val="2"/>
        </w:numPr>
        <w:spacing w:after="60" w:line="260"/>
      </w:pPr>
      <w:r>
        <w:rPr>
          <w:rFonts w:ascii="Calibri" w:cs="Calibri" w:eastAsia="Calibri" w:hAnsi="Calibri"/>
          <w:sz w:val="20"/>
          <w:szCs w:val="20"/>
        </w:rPr>
        <w:t xml:space="preserve">Code de la consommation — articles L221-18 et suivants (vente à distance).</w:t>
      </w:r>
    </w:p>
    <w:p>
      <w:pPr>
        <w:pStyle w:val="ListParagraph"/>
        <w:numPr>
          <w:ilvl w:val="0"/>
          <w:numId w:val="2"/>
        </w:numPr>
        <w:spacing w:after="60" w:line="260"/>
      </w:pPr>
      <w:r>
        <w:rPr>
          <w:rFonts w:ascii="Calibri" w:cs="Calibri" w:eastAsia="Calibri" w:hAnsi="Calibri"/>
          <w:sz w:val="20"/>
          <w:szCs w:val="20"/>
        </w:rPr>
        <w:t xml:space="preserve">CGV Eventy Life (cohérence).</w:t>
      </w:r>
    </w:p>
    <w:p>
      <w:pPr>
        <w:spacing w:after="160" w:before="240"/>
      </w:pPr>
      <w:r>
        <w:rPr>
          <w:rFonts w:ascii="Calibri" w:cs="Calibri" w:eastAsia="Calibri" w:hAnsi="Calibri"/>
          <w:b/>
          <w:bCs/>
          <w:color w:val="1F4E79"/>
          <w:sz w:val="32"/>
          <w:szCs w:val="32"/>
        </w:rPr>
        <w:t xml:space="preserve">2. Cas de remboursement intégral (100 %)</w:t>
      </w:r>
    </w:p>
    <w:p>
      <w:pPr>
        <w:spacing w:after="100" w:before="220"/>
      </w:pPr>
      <w:r>
        <w:rPr>
          <w:rFonts w:ascii="Calibri" w:cs="Calibri" w:eastAsia="Calibri" w:hAnsi="Calibri"/>
          <w:b/>
          <w:bCs/>
          <w:color w:val="E87722"/>
          <w:sz w:val="22"/>
          <w:szCs w:val="22"/>
        </w:rPr>
        <w:t xml:space="preserve">2.1. Délai de rétractation</w:t>
      </w:r>
    </w:p>
    <w:p>
      <w:pPr>
        <w:pStyle w:val="ListParagraph"/>
        <w:numPr>
          <w:ilvl w:val="0"/>
          <w:numId w:val="2"/>
        </w:numPr>
        <w:spacing w:after="60" w:line="260"/>
      </w:pPr>
      <w:r>
        <w:rPr>
          <w:rFonts w:ascii="Calibri" w:cs="Calibri" w:eastAsia="Calibri" w:hAnsi="Calibri"/>
          <w:sz w:val="20"/>
          <w:szCs w:val="20"/>
        </w:rPr>
        <w:t xml:space="preserve">14 jours après la réservation (cohérence CGV).</w:t>
      </w:r>
    </w:p>
    <w:p>
      <w:pPr>
        <w:pStyle w:val="ListParagraph"/>
        <w:numPr>
          <w:ilvl w:val="0"/>
          <w:numId w:val="2"/>
        </w:numPr>
        <w:spacing w:after="60" w:line="260"/>
      </w:pPr>
      <w:r>
        <w:rPr>
          <w:rFonts w:ascii="Calibri" w:cs="Calibri" w:eastAsia="Calibri" w:hAnsi="Calibri"/>
          <w:sz w:val="20"/>
          <w:szCs w:val="20"/>
        </w:rPr>
        <w:t xml:space="preserve">Refus de toute pénalité ou frais administratifs.</w:t>
      </w:r>
    </w:p>
    <w:p>
      <w:pPr>
        <w:pStyle w:val="ListParagraph"/>
        <w:numPr>
          <w:ilvl w:val="0"/>
          <w:numId w:val="2"/>
        </w:numPr>
        <w:spacing w:after="60" w:line="260"/>
      </w:pPr>
      <w:r>
        <w:rPr>
          <w:rFonts w:ascii="Calibri" w:cs="Calibri" w:eastAsia="Calibri" w:hAnsi="Calibri"/>
          <w:sz w:val="20"/>
          <w:szCs w:val="20"/>
        </w:rPr>
        <w:t xml:space="preserve">Versement sous 14 jours par virement.</w:t>
      </w:r>
    </w:p>
    <w:p>
      <w:pPr>
        <w:spacing w:after="100" w:before="220"/>
      </w:pPr>
      <w:r>
        <w:rPr>
          <w:rFonts w:ascii="Calibri" w:cs="Calibri" w:eastAsia="Calibri" w:hAnsi="Calibri"/>
          <w:b/>
          <w:bCs/>
          <w:color w:val="E87722"/>
          <w:sz w:val="22"/>
          <w:szCs w:val="22"/>
        </w:rPr>
        <w:t xml:space="preserve">2.2. Annulation par Eventy avant le départ</w:t>
      </w:r>
    </w:p>
    <w:p>
      <w:pPr>
        <w:pStyle w:val="ListParagraph"/>
        <w:numPr>
          <w:ilvl w:val="0"/>
          <w:numId w:val="2"/>
        </w:numPr>
        <w:spacing w:after="60" w:line="260"/>
      </w:pPr>
      <w:r>
        <w:rPr>
          <w:rFonts w:ascii="Calibri" w:cs="Calibri" w:eastAsia="Calibri" w:hAnsi="Calibri"/>
          <w:sz w:val="20"/>
          <w:szCs w:val="20"/>
        </w:rPr>
        <w:t xml:space="preserve">Force majeure dûment caractérisée.</w:t>
      </w:r>
    </w:p>
    <w:p>
      <w:pPr>
        <w:pStyle w:val="ListParagraph"/>
        <w:numPr>
          <w:ilvl w:val="0"/>
          <w:numId w:val="2"/>
        </w:numPr>
        <w:spacing w:after="60" w:line="260"/>
      </w:pPr>
      <w:r>
        <w:rPr>
          <w:rFonts w:ascii="Calibri" w:cs="Calibri" w:eastAsia="Calibri" w:hAnsi="Calibri"/>
          <w:sz w:val="20"/>
          <w:szCs w:val="20"/>
        </w:rPr>
        <w:t xml:space="preserve">Insuffisance du seuil minimal de partenaires (4 voyageurs) — bien que rare car Eventy s'engage à partir.</w:t>
      </w:r>
    </w:p>
    <w:p>
      <w:pPr>
        <w:pStyle w:val="ListParagraph"/>
        <w:numPr>
          <w:ilvl w:val="0"/>
          <w:numId w:val="2"/>
        </w:numPr>
        <w:spacing w:after="60" w:line="260"/>
      </w:pPr>
      <w:r>
        <w:rPr>
          <w:rFonts w:ascii="Calibri" w:cs="Calibri" w:eastAsia="Calibri" w:hAnsi="Calibri"/>
          <w:sz w:val="20"/>
          <w:szCs w:val="20"/>
        </w:rPr>
        <w:t xml:space="preserve">Crise sanitaire ou géopolitique.</w:t>
      </w:r>
    </w:p>
    <w:p>
      <w:pPr>
        <w:pStyle w:val="ListParagraph"/>
        <w:numPr>
          <w:ilvl w:val="0"/>
          <w:numId w:val="2"/>
        </w:numPr>
        <w:spacing w:after="60" w:line="260"/>
      </w:pPr>
      <w:r>
        <w:rPr>
          <w:rFonts w:ascii="Calibri" w:cs="Calibri" w:eastAsia="Calibri" w:hAnsi="Calibri"/>
          <w:sz w:val="20"/>
          <w:szCs w:val="20"/>
        </w:rPr>
        <w:t xml:space="preserve">Au choix du voyageur : remboursement intégral OU avoir 110 % du montant versé (cohérence CGV).</w:t>
      </w:r>
    </w:p>
    <w:p>
      <w:pPr>
        <w:spacing w:after="100" w:before="220"/>
      </w:pPr>
      <w:r>
        <w:rPr>
          <w:rFonts w:ascii="Calibri" w:cs="Calibri" w:eastAsia="Calibri" w:hAnsi="Calibri"/>
          <w:b/>
          <w:bCs/>
          <w:color w:val="E87722"/>
          <w:sz w:val="22"/>
          <w:szCs w:val="22"/>
        </w:rPr>
        <w:t xml:space="preserve">2.3. Modification substantielle non acceptée</w:t>
      </w:r>
    </w:p>
    <w:p>
      <w:pPr>
        <w:pStyle w:val="ListParagraph"/>
        <w:numPr>
          <w:ilvl w:val="0"/>
          <w:numId w:val="2"/>
        </w:numPr>
        <w:spacing w:after="60" w:line="260"/>
      </w:pPr>
      <w:r>
        <w:rPr>
          <w:rFonts w:ascii="Calibri" w:cs="Calibri" w:eastAsia="Calibri" w:hAnsi="Calibri"/>
          <w:sz w:val="20"/>
          <w:szCs w:val="20"/>
        </w:rPr>
        <w:t xml:space="preserve">Si Eventy modifie substantiellement le forfait (changement majeur destination, dates, programme).</w:t>
      </w:r>
    </w:p>
    <w:p>
      <w:pPr>
        <w:pStyle w:val="ListParagraph"/>
        <w:numPr>
          <w:ilvl w:val="0"/>
          <w:numId w:val="2"/>
        </w:numPr>
        <w:spacing w:after="60" w:line="260"/>
      </w:pPr>
      <w:r>
        <w:rPr>
          <w:rFonts w:ascii="Calibri" w:cs="Calibri" w:eastAsia="Calibri" w:hAnsi="Calibri"/>
          <w:sz w:val="20"/>
          <w:szCs w:val="20"/>
        </w:rPr>
        <w:t xml:space="preserve">Le voyageur peut refuser et obtenir remboursement intégral.</w:t>
      </w:r>
    </w:p>
    <w:p>
      <w:pPr>
        <w:pStyle w:val="ListParagraph"/>
        <w:numPr>
          <w:ilvl w:val="0"/>
          <w:numId w:val="2"/>
        </w:numPr>
        <w:spacing w:after="60" w:line="260"/>
      </w:pPr>
      <w:r>
        <w:rPr>
          <w:rFonts w:ascii="Calibri" w:cs="Calibri" w:eastAsia="Calibri" w:hAnsi="Calibri"/>
          <w:sz w:val="20"/>
          <w:szCs w:val="20"/>
        </w:rPr>
        <w:t xml:space="preserve">Cohérence Code du tourisme article L211-13.</w:t>
      </w:r>
    </w:p>
    <w:p>
      <w:pPr>
        <w:spacing w:after="100" w:before="220"/>
      </w:pPr>
      <w:r>
        <w:rPr>
          <w:rFonts w:ascii="Calibri" w:cs="Calibri" w:eastAsia="Calibri" w:hAnsi="Calibri"/>
          <w:b/>
          <w:bCs/>
          <w:color w:val="E87722"/>
          <w:sz w:val="22"/>
          <w:szCs w:val="22"/>
        </w:rPr>
        <w:t xml:space="preserve">2.4. Manquement Eventy aux obligations</w:t>
      </w:r>
    </w:p>
    <w:p>
      <w:pPr>
        <w:pStyle w:val="ListParagraph"/>
        <w:numPr>
          <w:ilvl w:val="0"/>
          <w:numId w:val="2"/>
        </w:numPr>
        <w:spacing w:after="60" w:line="260"/>
      </w:pPr>
      <w:r>
        <w:rPr>
          <w:rFonts w:ascii="Calibri" w:cs="Calibri" w:eastAsia="Calibri" w:hAnsi="Calibri"/>
          <w:sz w:val="20"/>
          <w:szCs w:val="20"/>
        </w:rPr>
        <w:t xml:space="preserve">Cas exceptionnel — manquement avéré aux obligations contractuelles.</w:t>
      </w:r>
    </w:p>
    <w:p>
      <w:pPr>
        <w:pStyle w:val="ListParagraph"/>
        <w:numPr>
          <w:ilvl w:val="0"/>
          <w:numId w:val="2"/>
        </w:numPr>
        <w:spacing w:after="60" w:line="260"/>
      </w:pPr>
      <w:r>
        <w:rPr>
          <w:rFonts w:ascii="Calibri" w:cs="Calibri" w:eastAsia="Calibri" w:hAnsi="Calibri"/>
          <w:sz w:val="20"/>
          <w:szCs w:val="20"/>
        </w:rPr>
        <w:t xml:space="preserve">Étude au cas par cas, possible remboursement intégral + indemnité.</w:t>
      </w:r>
    </w:p>
    <w:p>
      <w:pPr>
        <w:pStyle w:val="ListParagraph"/>
        <w:numPr>
          <w:ilvl w:val="0"/>
          <w:numId w:val="2"/>
        </w:numPr>
        <w:spacing w:after="60" w:line="260"/>
      </w:pPr>
      <w:r>
        <w:rPr>
          <w:rFonts w:ascii="Calibri" w:cs="Calibri" w:eastAsia="Calibri" w:hAnsi="Calibri"/>
          <w:sz w:val="20"/>
          <w:szCs w:val="20"/>
        </w:rPr>
        <w:t xml:space="preserve">Cohérence Procédure de réclamation détaillée.</w:t>
      </w:r>
    </w:p>
    <w:p>
      <w:pPr>
        <w:spacing w:after="160" w:before="240"/>
      </w:pPr>
      <w:r>
        <w:rPr>
          <w:rFonts w:ascii="Calibri" w:cs="Calibri" w:eastAsia="Calibri" w:hAnsi="Calibri"/>
          <w:b/>
          <w:bCs/>
          <w:color w:val="1F4E79"/>
          <w:sz w:val="32"/>
          <w:szCs w:val="32"/>
        </w:rPr>
        <w:t xml:space="preserve">3. Cas de remboursement partiel</w:t>
      </w:r>
    </w:p>
    <w:p>
      <w:pPr>
        <w:spacing w:after="100" w:before="220"/>
      </w:pPr>
      <w:r>
        <w:rPr>
          <w:rFonts w:ascii="Calibri" w:cs="Calibri" w:eastAsia="Calibri" w:hAnsi="Calibri"/>
          <w:b/>
          <w:bCs/>
          <w:color w:val="E87722"/>
          <w:sz w:val="22"/>
          <w:szCs w:val="22"/>
        </w:rPr>
        <w:t xml:space="preserve">3.1. Annulation par le voyageur — barème CGV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Délai d'annulation</w:t>
            </w:r>
          </w:p>
        </w:tc>
        <w:tc>
          <w:tcPr>
            <w:tcW w:type="dxa" w:w="2808"/>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Pénalité</w:t>
            </w:r>
          </w:p>
        </w:tc>
        <w:tc>
          <w:tcPr>
            <w:tcW w:type="dxa" w:w="2808"/>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Remboursement</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jours avant départ</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95 %</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60-89 jours</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70 %</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30-59 jours</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60 %</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40 %</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8-29 jours</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90 %</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10 %</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 jours</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80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0 %</w:t>
            </w:r>
          </w:p>
        </w:tc>
      </w:tr>
    </w:tbl>
    <w:p>
      <w:pPr>
        <w:spacing w:after="100" w:before="220"/>
      </w:pPr>
      <w:r>
        <w:rPr>
          <w:rFonts w:ascii="Calibri" w:cs="Calibri" w:eastAsia="Calibri" w:hAnsi="Calibri"/>
          <w:b/>
          <w:bCs/>
          <w:color w:val="E87722"/>
          <w:sz w:val="22"/>
          <w:szCs w:val="22"/>
        </w:rPr>
        <w:t xml:space="preserve">3.2. Cas particuliers du barème</w:t>
      </w:r>
    </w:p>
    <w:p>
      <w:pPr>
        <w:pStyle w:val="ListParagraph"/>
        <w:numPr>
          <w:ilvl w:val="0"/>
          <w:numId w:val="2"/>
        </w:numPr>
        <w:spacing w:after="60" w:line="260"/>
      </w:pPr>
      <w:r>
        <w:rPr>
          <w:rFonts w:ascii="Calibri" w:cs="Calibri" w:eastAsia="Calibri" w:hAnsi="Calibri"/>
          <w:sz w:val="20"/>
          <w:szCs w:val="20"/>
        </w:rPr>
        <w:t xml:space="preserve">Possibilité de céder le voyage à un autre voyageur (modification réservation, frais 50 €).</w:t>
      </w:r>
    </w:p>
    <w:p>
      <w:pPr>
        <w:pStyle w:val="ListParagraph"/>
        <w:numPr>
          <w:ilvl w:val="0"/>
          <w:numId w:val="2"/>
        </w:numPr>
        <w:spacing w:after="60" w:line="260"/>
      </w:pPr>
      <w:r>
        <w:rPr>
          <w:rFonts w:ascii="Calibri" w:cs="Calibri" w:eastAsia="Calibri" w:hAnsi="Calibri"/>
          <w:sz w:val="20"/>
          <w:szCs w:val="20"/>
        </w:rPr>
        <w:t xml:space="preserve">Si voyageur a souscrit assurance annulation tiers : application des conditions de l'assureur.</w:t>
      </w:r>
    </w:p>
    <w:p>
      <w:pPr>
        <w:pStyle w:val="ListParagraph"/>
        <w:numPr>
          <w:ilvl w:val="0"/>
          <w:numId w:val="2"/>
        </w:numPr>
        <w:spacing w:after="60" w:line="260"/>
      </w:pPr>
      <w:r>
        <w:rPr>
          <w:rFonts w:ascii="Calibri" w:cs="Calibri" w:eastAsia="Calibri" w:hAnsi="Calibri"/>
          <w:sz w:val="20"/>
          <w:szCs w:val="20"/>
        </w:rPr>
        <w:t xml:space="preserve">Refus systématique des frais d'annulation cachés ou non prévus aux CGV.</w:t>
      </w:r>
    </w:p>
    <w:p>
      <w:pPr>
        <w:spacing w:after="100" w:before="220"/>
      </w:pPr>
      <w:r>
        <w:rPr>
          <w:rFonts w:ascii="Calibri" w:cs="Calibri" w:eastAsia="Calibri" w:hAnsi="Calibri"/>
          <w:b/>
          <w:bCs/>
          <w:color w:val="E87722"/>
          <w:sz w:val="22"/>
          <w:szCs w:val="22"/>
        </w:rPr>
        <w:t xml:space="preserve">3.3. Indemnité partielle pour incident voyage</w:t>
      </w:r>
    </w:p>
    <w:p>
      <w:pPr>
        <w:pStyle w:val="ListParagraph"/>
        <w:numPr>
          <w:ilvl w:val="0"/>
          <w:numId w:val="2"/>
        </w:numPr>
        <w:spacing w:after="60" w:line="260"/>
      </w:pPr>
      <w:r>
        <w:rPr>
          <w:rFonts w:ascii="Calibri" w:cs="Calibri" w:eastAsia="Calibri" w:hAnsi="Calibri"/>
          <w:sz w:val="20"/>
          <w:szCs w:val="20"/>
        </w:rPr>
        <w:t xml:space="preserve">Cohérence avec Procédure de réclamation détaillée (10 cas avec montants).</w:t>
      </w:r>
    </w:p>
    <w:p>
      <w:pPr>
        <w:pStyle w:val="ListParagraph"/>
        <w:numPr>
          <w:ilvl w:val="0"/>
          <w:numId w:val="2"/>
        </w:numPr>
        <w:spacing w:after="60" w:line="260"/>
      </w:pPr>
      <w:r>
        <w:rPr>
          <w:rFonts w:ascii="Calibri" w:cs="Calibri" w:eastAsia="Calibri" w:hAnsi="Calibri"/>
          <w:sz w:val="20"/>
          <w:szCs w:val="20"/>
        </w:rPr>
        <w:t xml:space="preserve">Barème indicatif : 50-150 € par cas selon gravité.</w:t>
      </w:r>
    </w:p>
    <w:p>
      <w:pPr>
        <w:pStyle w:val="ListParagraph"/>
        <w:numPr>
          <w:ilvl w:val="0"/>
          <w:numId w:val="2"/>
        </w:numPr>
        <w:spacing w:after="60" w:line="260"/>
      </w:pPr>
      <w:r>
        <w:rPr>
          <w:rFonts w:ascii="Calibri" w:cs="Calibri" w:eastAsia="Calibri" w:hAnsi="Calibri"/>
          <w:sz w:val="20"/>
          <w:szCs w:val="20"/>
        </w:rPr>
        <w:t xml:space="preserve">Validation Président pour indemnité &gt; 200 €.</w:t>
      </w:r>
    </w:p>
    <w:p>
      <w:pPr>
        <w:spacing w:after="160" w:before="240"/>
      </w:pPr>
      <w:r>
        <w:rPr>
          <w:rFonts w:ascii="Calibri" w:cs="Calibri" w:eastAsia="Calibri" w:hAnsi="Calibri"/>
          <w:b/>
          <w:bCs/>
          <w:color w:val="1F4E79"/>
          <w:sz w:val="32"/>
          <w:szCs w:val="32"/>
        </w:rPr>
        <w:t xml:space="preserve">4. Avoir voyage Eventy</w:t>
      </w:r>
    </w:p>
    <w:p>
      <w:pPr>
        <w:spacing w:after="100" w:before="220"/>
      </w:pPr>
      <w:r>
        <w:rPr>
          <w:rFonts w:ascii="Calibri" w:cs="Calibri" w:eastAsia="Calibri" w:hAnsi="Calibri"/>
          <w:b/>
          <w:bCs/>
          <w:color w:val="E87722"/>
          <w:sz w:val="22"/>
          <w:szCs w:val="22"/>
        </w:rPr>
        <w:t xml:space="preserve">4.1. Conditions</w:t>
      </w:r>
    </w:p>
    <w:p>
      <w:pPr>
        <w:pStyle w:val="ListParagraph"/>
        <w:numPr>
          <w:ilvl w:val="0"/>
          <w:numId w:val="2"/>
        </w:numPr>
        <w:spacing w:after="60" w:line="260"/>
      </w:pPr>
      <w:r>
        <w:rPr>
          <w:rFonts w:ascii="Calibri" w:cs="Calibri" w:eastAsia="Calibri" w:hAnsi="Calibri"/>
          <w:sz w:val="20"/>
          <w:szCs w:val="20"/>
        </w:rPr>
        <w:t xml:space="preserve">Possibilité d'avoir voyage en cas d'annulation Eventy (110 % du montant versé).</w:t>
      </w:r>
    </w:p>
    <w:p>
      <w:pPr>
        <w:pStyle w:val="ListParagraph"/>
        <w:numPr>
          <w:ilvl w:val="0"/>
          <w:numId w:val="2"/>
        </w:numPr>
        <w:spacing w:after="60" w:line="260"/>
      </w:pPr>
      <w:r>
        <w:rPr>
          <w:rFonts w:ascii="Calibri" w:cs="Calibri" w:eastAsia="Calibri" w:hAnsi="Calibri"/>
          <w:sz w:val="20"/>
          <w:szCs w:val="20"/>
        </w:rPr>
        <w:t xml:space="preserve">Avoir parrain (50/60/75 € selon palier — cohérence Programme de fidélisation).</w:t>
      </w:r>
    </w:p>
    <w:p>
      <w:pPr>
        <w:pStyle w:val="ListParagraph"/>
        <w:numPr>
          <w:ilvl w:val="0"/>
          <w:numId w:val="2"/>
        </w:numPr>
        <w:spacing w:after="60" w:line="260"/>
      </w:pPr>
      <w:r>
        <w:rPr>
          <w:rFonts w:ascii="Calibri" w:cs="Calibri" w:eastAsia="Calibri" w:hAnsi="Calibri"/>
          <w:sz w:val="20"/>
          <w:szCs w:val="20"/>
        </w:rPr>
        <w:t xml:space="preserve">Avoir compensatoire en cas d'incident voyageur (validé Président, plafond 300 €).</w:t>
      </w:r>
    </w:p>
    <w:p>
      <w:pPr>
        <w:pStyle w:val="ListParagraph"/>
        <w:numPr>
          <w:ilvl w:val="0"/>
          <w:numId w:val="2"/>
        </w:numPr>
        <w:spacing w:after="60" w:line="260"/>
      </w:pPr>
      <w:r>
        <w:rPr>
          <w:rFonts w:ascii="Calibri" w:cs="Calibri" w:eastAsia="Calibri" w:hAnsi="Calibri"/>
          <w:sz w:val="20"/>
          <w:szCs w:val="20"/>
        </w:rPr>
        <w:t xml:space="preserve">Avoir promotionnel exceptionnel (campagne, anniversaire).</w:t>
      </w:r>
    </w:p>
    <w:p>
      <w:pPr>
        <w:spacing w:after="100" w:before="220"/>
      </w:pPr>
      <w:r>
        <w:rPr>
          <w:rFonts w:ascii="Calibri" w:cs="Calibri" w:eastAsia="Calibri" w:hAnsi="Calibri"/>
          <w:b/>
          <w:bCs/>
          <w:color w:val="E87722"/>
          <w:sz w:val="22"/>
          <w:szCs w:val="22"/>
        </w:rPr>
        <w:t xml:space="preserve">4.2. Modalités d'utilisation</w:t>
      </w:r>
    </w:p>
    <w:p>
      <w:pPr>
        <w:pStyle w:val="ListParagraph"/>
        <w:numPr>
          <w:ilvl w:val="0"/>
          <w:numId w:val="2"/>
        </w:numPr>
        <w:spacing w:after="60" w:line="260"/>
      </w:pPr>
      <w:r>
        <w:rPr>
          <w:rFonts w:ascii="Calibri" w:cs="Calibri" w:eastAsia="Calibri" w:hAnsi="Calibri"/>
          <w:sz w:val="20"/>
          <w:szCs w:val="20"/>
        </w:rPr>
        <w:t xml:space="preserve">Validité : 24 mois à compter du versement (sauf si autre durée mentionnée).</w:t>
      </w:r>
    </w:p>
    <w:p>
      <w:pPr>
        <w:pStyle w:val="ListParagraph"/>
        <w:numPr>
          <w:ilvl w:val="0"/>
          <w:numId w:val="2"/>
        </w:numPr>
        <w:spacing w:after="60" w:line="260"/>
      </w:pPr>
      <w:r>
        <w:rPr>
          <w:rFonts w:ascii="Calibri" w:cs="Calibri" w:eastAsia="Calibri" w:hAnsi="Calibri"/>
          <w:sz w:val="20"/>
          <w:szCs w:val="20"/>
        </w:rPr>
        <w:t xml:space="preserve">Cumul possible avec remises de palier (limite 25 % de remise totale).</w:t>
      </w:r>
    </w:p>
    <w:p>
      <w:pPr>
        <w:pStyle w:val="ListParagraph"/>
        <w:numPr>
          <w:ilvl w:val="0"/>
          <w:numId w:val="2"/>
        </w:numPr>
        <w:spacing w:after="60" w:line="260"/>
      </w:pPr>
      <w:r>
        <w:rPr>
          <w:rFonts w:ascii="Calibri" w:cs="Calibri" w:eastAsia="Calibri" w:hAnsi="Calibri"/>
          <w:sz w:val="20"/>
          <w:szCs w:val="20"/>
        </w:rPr>
        <w:t xml:space="preserve">Application automatique lors de la prochaine réservation.</w:t>
      </w:r>
    </w:p>
    <w:p>
      <w:pPr>
        <w:pStyle w:val="ListParagraph"/>
        <w:numPr>
          <w:ilvl w:val="0"/>
          <w:numId w:val="2"/>
        </w:numPr>
        <w:spacing w:after="60" w:line="260"/>
      </w:pPr>
      <w:r>
        <w:rPr>
          <w:rFonts w:ascii="Calibri" w:cs="Calibri" w:eastAsia="Calibri" w:hAnsi="Calibri"/>
          <w:sz w:val="20"/>
          <w:szCs w:val="20"/>
        </w:rPr>
        <w:t xml:space="preserve">Pas de monnaie de pile (l'avoir non utilisé reste à utiliser sur futures réservations).</w:t>
      </w:r>
    </w:p>
    <w:p>
      <w:pPr>
        <w:spacing w:after="100" w:before="220"/>
      </w:pPr>
      <w:r>
        <w:rPr>
          <w:rFonts w:ascii="Calibri" w:cs="Calibri" w:eastAsia="Calibri" w:hAnsi="Calibri"/>
          <w:b/>
          <w:bCs/>
          <w:color w:val="E87722"/>
          <w:sz w:val="22"/>
          <w:szCs w:val="22"/>
        </w:rPr>
        <w:t xml:space="preserve">4.3. Refus structurés</w:t>
      </w:r>
    </w:p>
    <w:p>
      <w:pPr>
        <w:pStyle w:val="ListParagraph"/>
        <w:numPr>
          <w:ilvl w:val="0"/>
          <w:numId w:val="2"/>
        </w:numPr>
        <w:spacing w:after="60" w:line="260"/>
      </w:pPr>
      <w:r>
        <w:rPr>
          <w:rFonts w:ascii="Calibri" w:cs="Calibri" w:eastAsia="Calibri" w:hAnsi="Calibri"/>
          <w:sz w:val="20"/>
          <w:szCs w:val="20"/>
        </w:rPr>
        <w:t xml:space="preserve">Refus de l'avoir forcé (si remboursement de droit, le voyageur a le choix).</w:t>
      </w:r>
    </w:p>
    <w:p>
      <w:pPr>
        <w:pStyle w:val="ListParagraph"/>
        <w:numPr>
          <w:ilvl w:val="0"/>
          <w:numId w:val="2"/>
        </w:numPr>
        <w:spacing w:after="60" w:line="260"/>
      </w:pPr>
      <w:r>
        <w:rPr>
          <w:rFonts w:ascii="Calibri" w:cs="Calibri" w:eastAsia="Calibri" w:hAnsi="Calibri"/>
          <w:sz w:val="20"/>
          <w:szCs w:val="20"/>
        </w:rPr>
        <w:t xml:space="preserve">Refus de la péremption courte (minimum 24 mois).</w:t>
      </w:r>
    </w:p>
    <w:p>
      <w:pPr>
        <w:pStyle w:val="ListParagraph"/>
        <w:numPr>
          <w:ilvl w:val="0"/>
          <w:numId w:val="2"/>
        </w:numPr>
        <w:spacing w:after="60" w:line="260"/>
      </w:pPr>
      <w:r>
        <w:rPr>
          <w:rFonts w:ascii="Calibri" w:cs="Calibri" w:eastAsia="Calibri" w:hAnsi="Calibri"/>
          <w:sz w:val="20"/>
          <w:szCs w:val="20"/>
        </w:rPr>
        <w:t xml:space="preserve">Refus de la non-cumulabilité abusive.</w:t>
      </w:r>
    </w:p>
    <w:p>
      <w:pPr>
        <w:pStyle w:val="ListParagraph"/>
        <w:numPr>
          <w:ilvl w:val="0"/>
          <w:numId w:val="2"/>
        </w:numPr>
        <w:spacing w:after="60" w:line="260"/>
      </w:pPr>
      <w:r>
        <w:rPr>
          <w:rFonts w:ascii="Calibri" w:cs="Calibri" w:eastAsia="Calibri" w:hAnsi="Calibri"/>
          <w:sz w:val="20"/>
          <w:szCs w:val="20"/>
        </w:rPr>
        <w:t xml:space="preserve">Refus du conditionnement à un montant minimum d'achat (sauf si avoir promotionnel cadeau).</w:t>
      </w:r>
    </w:p>
    <w:p>
      <w:pPr>
        <w:spacing w:after="160" w:before="240"/>
      </w:pPr>
      <w:r>
        <w:rPr>
          <w:rFonts w:ascii="Calibri" w:cs="Calibri" w:eastAsia="Calibri" w:hAnsi="Calibri"/>
          <w:b/>
          <w:bCs/>
          <w:color w:val="1F4E79"/>
          <w:sz w:val="32"/>
          <w:szCs w:val="32"/>
        </w:rPr>
        <w:t xml:space="preserve">5. Modalités opérationnelles</w:t>
      </w:r>
    </w:p>
    <w:p>
      <w:pPr>
        <w:spacing w:after="100" w:before="220"/>
      </w:pPr>
      <w:r>
        <w:rPr>
          <w:rFonts w:ascii="Calibri" w:cs="Calibri" w:eastAsia="Calibri" w:hAnsi="Calibri"/>
          <w:b/>
          <w:bCs/>
          <w:color w:val="E87722"/>
          <w:sz w:val="22"/>
          <w:szCs w:val="22"/>
        </w:rPr>
        <w:t xml:space="preserve">5.1. Demande de remboursement</w:t>
      </w:r>
    </w:p>
    <w:p>
      <w:pPr>
        <w:pStyle w:val="ListParagraph"/>
        <w:numPr>
          <w:ilvl w:val="0"/>
          <w:numId w:val="2"/>
        </w:numPr>
        <w:spacing w:after="60" w:line="260"/>
      </w:pPr>
      <w:r>
        <w:rPr>
          <w:rFonts w:ascii="Calibri" w:cs="Calibri" w:eastAsia="Calibri" w:hAnsi="Calibri"/>
          <w:sz w:val="20"/>
          <w:szCs w:val="20"/>
        </w:rPr>
        <w:t xml:space="preserve">Email à : annulation@eventylife.fr ou modification@eventylife.fr.</w:t>
      </w:r>
    </w:p>
    <w:p>
      <w:pPr>
        <w:pStyle w:val="ListParagraph"/>
        <w:numPr>
          <w:ilvl w:val="0"/>
          <w:numId w:val="2"/>
        </w:numPr>
        <w:spacing w:after="60" w:line="260"/>
      </w:pPr>
      <w:r>
        <w:rPr>
          <w:rFonts w:ascii="Calibri" w:cs="Calibri" w:eastAsia="Calibri" w:hAnsi="Calibri"/>
          <w:sz w:val="20"/>
          <w:szCs w:val="20"/>
        </w:rPr>
        <w:t xml:space="preserve">Indication claire du dossier voyageur, voyage concerné, motif.</w:t>
      </w:r>
    </w:p>
    <w:p>
      <w:pPr>
        <w:pStyle w:val="ListParagraph"/>
        <w:numPr>
          <w:ilvl w:val="0"/>
          <w:numId w:val="2"/>
        </w:numPr>
        <w:spacing w:after="60" w:line="260"/>
      </w:pPr>
      <w:r>
        <w:rPr>
          <w:rFonts w:ascii="Calibri" w:cs="Calibri" w:eastAsia="Calibri" w:hAnsi="Calibri"/>
          <w:sz w:val="20"/>
          <w:szCs w:val="20"/>
        </w:rPr>
        <w:t xml:space="preserve">Confirmation de réception sous 48 h ouvrées.</w:t>
      </w:r>
    </w:p>
    <w:p>
      <w:pPr>
        <w:pStyle w:val="ListParagraph"/>
        <w:numPr>
          <w:ilvl w:val="0"/>
          <w:numId w:val="2"/>
        </w:numPr>
        <w:spacing w:after="60" w:line="260"/>
      </w:pPr>
      <w:r>
        <w:rPr>
          <w:rFonts w:ascii="Calibri" w:cs="Calibri" w:eastAsia="Calibri" w:hAnsi="Calibri"/>
          <w:sz w:val="20"/>
          <w:szCs w:val="20"/>
        </w:rPr>
        <w:t xml:space="preserve">Cohérence Onboarding voyageur (parcours documenté).</w:t>
      </w:r>
    </w:p>
    <w:p>
      <w:pPr>
        <w:spacing w:after="100" w:before="220"/>
      </w:pPr>
      <w:r>
        <w:rPr>
          <w:rFonts w:ascii="Calibri" w:cs="Calibri" w:eastAsia="Calibri" w:hAnsi="Calibri"/>
          <w:b/>
          <w:bCs/>
          <w:color w:val="E87722"/>
          <w:sz w:val="22"/>
          <w:szCs w:val="22"/>
        </w:rPr>
        <w:t xml:space="preserve">5.2. Validation</w:t>
      </w:r>
    </w:p>
    <w:p>
      <w:pPr>
        <w:pStyle w:val="ListParagraph"/>
        <w:numPr>
          <w:ilvl w:val="0"/>
          <w:numId w:val="2"/>
        </w:numPr>
        <w:spacing w:after="60" w:line="260"/>
      </w:pPr>
      <w:r>
        <w:rPr>
          <w:rFonts w:ascii="Calibri" w:cs="Calibri" w:eastAsia="Calibri" w:hAnsi="Calibri"/>
          <w:sz w:val="20"/>
          <w:szCs w:val="20"/>
        </w:rPr>
        <w:t xml:space="preserve">Validation par le Président (ou délégation équipe support).</w:t>
      </w:r>
    </w:p>
    <w:p>
      <w:pPr>
        <w:pStyle w:val="ListParagraph"/>
        <w:numPr>
          <w:ilvl w:val="0"/>
          <w:numId w:val="2"/>
        </w:numPr>
        <w:spacing w:after="60" w:line="260"/>
      </w:pPr>
      <w:r>
        <w:rPr>
          <w:rFonts w:ascii="Calibri" w:cs="Calibri" w:eastAsia="Calibri" w:hAnsi="Calibri"/>
          <w:sz w:val="20"/>
          <w:szCs w:val="20"/>
        </w:rPr>
        <w:t xml:space="preserve">Délai de validation : ≤ 7 jours ouvrés.</w:t>
      </w:r>
    </w:p>
    <w:p>
      <w:pPr>
        <w:pStyle w:val="ListParagraph"/>
        <w:numPr>
          <w:ilvl w:val="0"/>
          <w:numId w:val="2"/>
        </w:numPr>
        <w:spacing w:after="60" w:line="260"/>
      </w:pPr>
      <w:r>
        <w:rPr>
          <w:rFonts w:ascii="Calibri" w:cs="Calibri" w:eastAsia="Calibri" w:hAnsi="Calibri"/>
          <w:sz w:val="20"/>
          <w:szCs w:val="20"/>
        </w:rPr>
        <w:t xml:space="preserve">Communication écrite du résultat (motivé en cas de refus partiel).</w:t>
      </w:r>
    </w:p>
    <w:p>
      <w:pPr>
        <w:spacing w:after="100" w:before="220"/>
      </w:pPr>
      <w:r>
        <w:rPr>
          <w:rFonts w:ascii="Calibri" w:cs="Calibri" w:eastAsia="Calibri" w:hAnsi="Calibri"/>
          <w:b/>
          <w:bCs/>
          <w:color w:val="E87722"/>
          <w:sz w:val="22"/>
          <w:szCs w:val="22"/>
        </w:rPr>
        <w:t xml:space="preserve">5.3. Versement</w:t>
      </w:r>
    </w:p>
    <w:p>
      <w:pPr>
        <w:pStyle w:val="ListParagraph"/>
        <w:numPr>
          <w:ilvl w:val="0"/>
          <w:numId w:val="2"/>
        </w:numPr>
        <w:spacing w:after="60" w:line="260"/>
      </w:pPr>
      <w:r>
        <w:rPr>
          <w:rFonts w:ascii="Calibri" w:cs="Calibri" w:eastAsia="Calibri" w:hAnsi="Calibri"/>
          <w:sz w:val="20"/>
          <w:szCs w:val="20"/>
        </w:rPr>
        <w:t xml:space="preserve">Remboursement par virement (RIB voyageur).</w:t>
      </w:r>
    </w:p>
    <w:p>
      <w:pPr>
        <w:pStyle w:val="ListParagraph"/>
        <w:numPr>
          <w:ilvl w:val="0"/>
          <w:numId w:val="2"/>
        </w:numPr>
        <w:spacing w:after="60" w:line="260"/>
      </w:pPr>
      <w:r>
        <w:rPr>
          <w:rFonts w:ascii="Calibri" w:cs="Calibri" w:eastAsia="Calibri" w:hAnsi="Calibri"/>
          <w:sz w:val="20"/>
          <w:szCs w:val="20"/>
        </w:rPr>
        <w:t xml:space="preserve">Délai : 14 jours après validation (au-delà : préjudice indemnisable).</w:t>
      </w:r>
    </w:p>
    <w:p>
      <w:pPr>
        <w:pStyle w:val="ListParagraph"/>
        <w:numPr>
          <w:ilvl w:val="0"/>
          <w:numId w:val="2"/>
        </w:numPr>
        <w:spacing w:after="60" w:line="260"/>
      </w:pPr>
      <w:r>
        <w:rPr>
          <w:rFonts w:ascii="Calibri" w:cs="Calibri" w:eastAsia="Calibri" w:hAnsi="Calibri"/>
          <w:sz w:val="20"/>
          <w:szCs w:val="20"/>
        </w:rPr>
        <w:t xml:space="preserve">Avoir voyage : crédité immédiatement sur l'espace voyageur.</w:t>
      </w:r>
    </w:p>
    <w:p>
      <w:pPr>
        <w:pStyle w:val="ListParagraph"/>
        <w:numPr>
          <w:ilvl w:val="0"/>
          <w:numId w:val="2"/>
        </w:numPr>
        <w:spacing w:after="60" w:line="260"/>
      </w:pPr>
      <w:r>
        <w:rPr>
          <w:rFonts w:ascii="Calibri" w:cs="Calibri" w:eastAsia="Calibri" w:hAnsi="Calibri"/>
          <w:sz w:val="20"/>
          <w:szCs w:val="20"/>
        </w:rPr>
        <w:t xml:space="preserve">Justificatif fourni par email (PDF).</w:t>
      </w:r>
    </w:p>
    <w:p>
      <w:pPr>
        <w:spacing w:after="160" w:before="240"/>
      </w:pPr>
      <w:r>
        <w:rPr>
          <w:rFonts w:ascii="Calibri" w:cs="Calibri" w:eastAsia="Calibri" w:hAnsi="Calibri"/>
          <w:b/>
          <w:bCs/>
          <w:color w:val="1F4E79"/>
          <w:sz w:val="32"/>
          <w:szCs w:val="32"/>
        </w:rPr>
        <w:t xml:space="preserve">6. Cas particuliers</w:t>
      </w:r>
    </w:p>
    <w:p>
      <w:pPr>
        <w:spacing w:after="100" w:before="220"/>
      </w:pPr>
      <w:r>
        <w:rPr>
          <w:rFonts w:ascii="Calibri" w:cs="Calibri" w:eastAsia="Calibri" w:hAnsi="Calibri"/>
          <w:b/>
          <w:bCs/>
          <w:color w:val="E87722"/>
          <w:sz w:val="22"/>
          <w:szCs w:val="22"/>
        </w:rPr>
        <w:t xml:space="preserve">6.1. Annulation pour décès / accident grave</w:t>
      </w:r>
    </w:p>
    <w:p>
      <w:pPr>
        <w:pStyle w:val="ListParagraph"/>
        <w:numPr>
          <w:ilvl w:val="0"/>
          <w:numId w:val="2"/>
        </w:numPr>
        <w:spacing w:after="60" w:line="260"/>
      </w:pPr>
      <w:r>
        <w:rPr>
          <w:rFonts w:ascii="Calibri" w:cs="Calibri" w:eastAsia="Calibri" w:hAnsi="Calibri"/>
          <w:sz w:val="20"/>
          <w:szCs w:val="20"/>
        </w:rPr>
        <w:t xml:space="preserve">Geste commercial possible (au-delà du barème CGV).</w:t>
      </w:r>
    </w:p>
    <w:p>
      <w:pPr>
        <w:pStyle w:val="ListParagraph"/>
        <w:numPr>
          <w:ilvl w:val="0"/>
          <w:numId w:val="2"/>
        </w:numPr>
        <w:spacing w:after="60" w:line="260"/>
      </w:pPr>
      <w:r>
        <w:rPr>
          <w:rFonts w:ascii="Calibri" w:cs="Calibri" w:eastAsia="Calibri" w:hAnsi="Calibri"/>
          <w:sz w:val="20"/>
          <w:szCs w:val="20"/>
        </w:rPr>
        <w:t xml:space="preserve">Validation Président, sur production de justificatif.</w:t>
      </w:r>
    </w:p>
    <w:p>
      <w:pPr>
        <w:pStyle w:val="ListParagraph"/>
        <w:numPr>
          <w:ilvl w:val="0"/>
          <w:numId w:val="2"/>
        </w:numPr>
        <w:spacing w:after="60" w:line="260"/>
      </w:pPr>
      <w:r>
        <w:rPr>
          <w:rFonts w:ascii="Calibri" w:cs="Calibri" w:eastAsia="Calibri" w:hAnsi="Calibri"/>
          <w:sz w:val="20"/>
          <w:szCs w:val="20"/>
        </w:rPr>
        <w:t xml:space="preserve">Décision empathique mais réaliste.</w:t>
      </w:r>
    </w:p>
    <w:p>
      <w:pPr>
        <w:spacing w:after="100" w:before="220"/>
      </w:pPr>
      <w:r>
        <w:rPr>
          <w:rFonts w:ascii="Calibri" w:cs="Calibri" w:eastAsia="Calibri" w:hAnsi="Calibri"/>
          <w:b/>
          <w:bCs/>
          <w:color w:val="E87722"/>
          <w:sz w:val="22"/>
          <w:szCs w:val="22"/>
        </w:rPr>
        <w:t xml:space="preserve">6.2. Voyage CSE / B2B</w:t>
      </w:r>
    </w:p>
    <w:p>
      <w:pPr>
        <w:pStyle w:val="ListParagraph"/>
        <w:numPr>
          <w:ilvl w:val="0"/>
          <w:numId w:val="2"/>
        </w:numPr>
        <w:spacing w:after="60" w:line="260"/>
      </w:pPr>
      <w:r>
        <w:rPr>
          <w:rFonts w:ascii="Calibri" w:cs="Calibri" w:eastAsia="Calibri" w:hAnsi="Calibri"/>
          <w:sz w:val="20"/>
          <w:szCs w:val="20"/>
        </w:rPr>
        <w:t xml:space="preserve">Cohérence avec Offre CSE / B2B (barème spécifique).</w:t>
      </w:r>
    </w:p>
    <w:p>
      <w:pPr>
        <w:pStyle w:val="ListParagraph"/>
        <w:numPr>
          <w:ilvl w:val="0"/>
          <w:numId w:val="2"/>
        </w:numPr>
        <w:spacing w:after="60" w:line="260"/>
      </w:pPr>
      <w:r>
        <w:rPr>
          <w:rFonts w:ascii="Calibri" w:cs="Calibri" w:eastAsia="Calibri" w:hAnsi="Calibri"/>
          <w:sz w:val="20"/>
          <w:szCs w:val="20"/>
        </w:rPr>
        <w:t xml:space="preserve">Versement à l'entité ayant payé.</w:t>
      </w:r>
    </w:p>
    <w:p>
      <w:pPr>
        <w:pStyle w:val="ListParagraph"/>
        <w:numPr>
          <w:ilvl w:val="0"/>
          <w:numId w:val="2"/>
        </w:numPr>
        <w:spacing w:after="60" w:line="260"/>
      </w:pPr>
      <w:r>
        <w:rPr>
          <w:rFonts w:ascii="Calibri" w:cs="Calibri" w:eastAsia="Calibri" w:hAnsi="Calibri"/>
          <w:sz w:val="20"/>
          <w:szCs w:val="20"/>
        </w:rPr>
        <w:t xml:space="preserve">Possibilité de transfert sur autre voyage CSE.</w:t>
      </w:r>
    </w:p>
    <w:p>
      <w:pPr>
        <w:spacing w:after="100" w:before="220"/>
      </w:pPr>
      <w:r>
        <w:rPr>
          <w:rFonts w:ascii="Calibri" w:cs="Calibri" w:eastAsia="Calibri" w:hAnsi="Calibri"/>
          <w:b/>
          <w:bCs/>
          <w:color w:val="E87722"/>
          <w:sz w:val="22"/>
          <w:szCs w:val="22"/>
        </w:rPr>
        <w:t xml:space="preserve">6.3. Voyage avec mineur</w:t>
      </w:r>
    </w:p>
    <w:p>
      <w:pPr>
        <w:pStyle w:val="ListParagraph"/>
        <w:numPr>
          <w:ilvl w:val="0"/>
          <w:numId w:val="2"/>
        </w:numPr>
        <w:spacing w:after="60" w:line="260"/>
      </w:pPr>
      <w:r>
        <w:rPr>
          <w:rFonts w:ascii="Calibri" w:cs="Calibri" w:eastAsia="Calibri" w:hAnsi="Calibri"/>
          <w:sz w:val="20"/>
          <w:szCs w:val="20"/>
        </w:rPr>
        <w:t xml:space="preserve">Cohérence avec Charte mineurs voyageurs.</w:t>
      </w:r>
    </w:p>
    <w:p>
      <w:pPr>
        <w:pStyle w:val="ListParagraph"/>
        <w:numPr>
          <w:ilvl w:val="0"/>
          <w:numId w:val="2"/>
        </w:numPr>
        <w:spacing w:after="60" w:line="260"/>
      </w:pPr>
      <w:r>
        <w:rPr>
          <w:rFonts w:ascii="Calibri" w:cs="Calibri" w:eastAsia="Calibri" w:hAnsi="Calibri"/>
          <w:sz w:val="20"/>
          <w:szCs w:val="20"/>
        </w:rPr>
        <w:t xml:space="preserve">Communication avec le représentant légal.</w:t>
      </w:r>
    </w:p>
    <w:p>
      <w:pPr>
        <w:spacing w:after="160" w:before="240"/>
      </w:pPr>
      <w:r>
        <w:rPr>
          <w:rFonts w:ascii="Calibri" w:cs="Calibri" w:eastAsia="Calibri" w:hAnsi="Calibri"/>
          <w:b/>
          <w:bCs/>
          <w:color w:val="1F4E79"/>
          <w:sz w:val="32"/>
          <w:szCs w:val="32"/>
        </w:rPr>
        <w:t xml:space="preserve">7. Suivi comptable</w:t>
      </w:r>
    </w:p>
    <w:p>
      <w:pPr>
        <w:pStyle w:val="ListParagraph"/>
        <w:numPr>
          <w:ilvl w:val="0"/>
          <w:numId w:val="2"/>
        </w:numPr>
        <w:spacing w:after="60" w:line="260"/>
      </w:pPr>
      <w:r>
        <w:rPr>
          <w:rFonts w:ascii="Calibri" w:cs="Calibri" w:eastAsia="Calibri" w:hAnsi="Calibri"/>
          <w:sz w:val="20"/>
          <w:szCs w:val="20"/>
        </w:rPr>
        <w:t xml:space="preserve">Provision pour remboursements en cours (cohérence Plan comptable et processus mensuel).</w:t>
      </w:r>
    </w:p>
    <w:p>
      <w:pPr>
        <w:pStyle w:val="ListParagraph"/>
        <w:numPr>
          <w:ilvl w:val="0"/>
          <w:numId w:val="2"/>
        </w:numPr>
        <w:spacing w:after="60" w:line="260"/>
      </w:pPr>
      <w:r>
        <w:rPr>
          <w:rFonts w:ascii="Calibri" w:cs="Calibri" w:eastAsia="Calibri" w:hAnsi="Calibri"/>
          <w:sz w:val="20"/>
          <w:szCs w:val="20"/>
        </w:rPr>
        <w:t xml:space="preserve">Compte 4191 ou similaire pour avoirs voyageurs.</w:t>
      </w:r>
    </w:p>
    <w:p>
      <w:pPr>
        <w:pStyle w:val="ListParagraph"/>
        <w:numPr>
          <w:ilvl w:val="0"/>
          <w:numId w:val="2"/>
        </w:numPr>
        <w:spacing w:after="60" w:line="260"/>
      </w:pPr>
      <w:r>
        <w:rPr>
          <w:rFonts w:ascii="Calibri" w:cs="Calibri" w:eastAsia="Calibri" w:hAnsi="Calibri"/>
          <w:sz w:val="20"/>
          <w:szCs w:val="20"/>
        </w:rPr>
        <w:t xml:space="preserve">Reporting mensuel des avoirs émis et utilisés.</w:t>
      </w:r>
    </w:p>
    <w:p>
      <w:pPr>
        <w:pStyle w:val="ListParagraph"/>
        <w:numPr>
          <w:ilvl w:val="0"/>
          <w:numId w:val="2"/>
        </w:numPr>
        <w:spacing w:after="60" w:line="260"/>
      </w:pPr>
      <w:r>
        <w:rPr>
          <w:rFonts w:ascii="Calibri" w:cs="Calibri" w:eastAsia="Calibri" w:hAnsi="Calibri"/>
          <w:sz w:val="20"/>
          <w:szCs w:val="20"/>
        </w:rPr>
        <w:t xml:space="preserve">Cohérence Note expert-comptable.</w:t>
      </w:r>
    </w:p>
    <w:p>
      <w:pPr>
        <w:spacing w:after="160" w:before="240"/>
      </w:pPr>
      <w:r>
        <w:rPr>
          <w:rFonts w:ascii="Calibri" w:cs="Calibri" w:eastAsia="Calibri" w:hAnsi="Calibri"/>
          <w:b/>
          <w:bCs/>
          <w:color w:val="1F4E79"/>
          <w:sz w:val="32"/>
          <w:szCs w:val="32"/>
        </w:rPr>
        <w:t xml:space="preserve">8.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validation moyen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 j</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j</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remboursement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14 j</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 j</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d'annulation voyageurs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Avoirs versés / an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d'utilisation avoirs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85 %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liées aux remboursements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2 %</w:t>
            </w:r>
          </w:p>
        </w:tc>
      </w:tr>
    </w:tbl>
    <w:p>
      <w:pPr>
        <w:spacing w:after="160" w:before="240"/>
      </w:pPr>
      <w:r>
        <w:rPr>
          <w:rFonts w:ascii="Calibri" w:cs="Calibri" w:eastAsia="Calibri" w:hAnsi="Calibri"/>
          <w:b/>
          <w:bCs/>
          <w:color w:val="1F4E79"/>
          <w:sz w:val="32"/>
          <w:szCs w:val="32"/>
        </w:rPr>
        <w:t xml:space="preserve">9. Engagements éthiques</w:t>
      </w:r>
    </w:p>
    <w:p>
      <w:pPr>
        <w:pStyle w:val="ListParagraph"/>
        <w:numPr>
          <w:ilvl w:val="0"/>
          <w:numId w:val="2"/>
        </w:numPr>
        <w:spacing w:after="60" w:line="260"/>
      </w:pPr>
      <w:r>
        <w:rPr>
          <w:rFonts w:ascii="Calibri" w:cs="Calibri" w:eastAsia="Calibri" w:hAnsi="Calibri"/>
          <w:sz w:val="20"/>
          <w:szCs w:val="20"/>
        </w:rPr>
        <w:t xml:space="preserve">Refus du remboursement abusif (geste empathique mais réaliste).</w:t>
      </w:r>
    </w:p>
    <w:p>
      <w:pPr>
        <w:pStyle w:val="ListParagraph"/>
        <w:numPr>
          <w:ilvl w:val="0"/>
          <w:numId w:val="2"/>
        </w:numPr>
        <w:spacing w:after="60" w:line="260"/>
      </w:pPr>
      <w:r>
        <w:rPr>
          <w:rFonts w:ascii="Calibri" w:cs="Calibri" w:eastAsia="Calibri" w:hAnsi="Calibri"/>
          <w:sz w:val="20"/>
          <w:szCs w:val="20"/>
        </w:rPr>
        <w:t xml:space="preserve">Refus de la pénalisation excessive du voyageur.</w:t>
      </w:r>
    </w:p>
    <w:p>
      <w:pPr>
        <w:pStyle w:val="ListParagraph"/>
        <w:numPr>
          <w:ilvl w:val="0"/>
          <w:numId w:val="2"/>
        </w:numPr>
        <w:spacing w:after="60" w:line="260"/>
      </w:pPr>
      <w:r>
        <w:rPr>
          <w:rFonts w:ascii="Calibri" w:cs="Calibri" w:eastAsia="Calibri" w:hAnsi="Calibri"/>
          <w:sz w:val="20"/>
          <w:szCs w:val="20"/>
        </w:rPr>
        <w:t xml:space="preserve">Refus de l'avoir forcé contre droit du voyageur.</w:t>
      </w:r>
    </w:p>
    <w:p>
      <w:pPr>
        <w:pStyle w:val="ListParagraph"/>
        <w:numPr>
          <w:ilvl w:val="0"/>
          <w:numId w:val="2"/>
        </w:numPr>
        <w:spacing w:after="60" w:line="260"/>
      </w:pPr>
      <w:r>
        <w:rPr>
          <w:rFonts w:ascii="Calibri" w:cs="Calibri" w:eastAsia="Calibri" w:hAnsi="Calibri"/>
          <w:sz w:val="20"/>
          <w:szCs w:val="20"/>
        </w:rPr>
        <w:t xml:space="preserve">Communication transparente des règles dès la réservation.</w:t>
      </w:r>
    </w:p>
    <w:p>
      <w:pPr>
        <w:pStyle w:val="ListParagraph"/>
        <w:numPr>
          <w:ilvl w:val="0"/>
          <w:numId w:val="2"/>
        </w:numPr>
        <w:spacing w:after="60" w:line="260"/>
      </w:pPr>
      <w:r>
        <w:rPr>
          <w:rFonts w:ascii="Calibri" w:cs="Calibri" w:eastAsia="Calibri" w:hAnsi="Calibri"/>
          <w:sz w:val="20"/>
          <w:szCs w:val="20"/>
        </w:rPr>
        <w:t xml:space="preserve">Délais respectés en toutes circonstances.</w:t>
      </w:r>
    </w:p>
    <w:p>
      <w:pPr>
        <w:pStyle w:val="ListParagraph"/>
        <w:numPr>
          <w:ilvl w:val="0"/>
          <w:numId w:val="2"/>
        </w:numPr>
        <w:spacing w:after="60" w:line="260"/>
      </w:pPr>
      <w:r>
        <w:rPr>
          <w:rFonts w:ascii="Calibri" w:cs="Calibri" w:eastAsia="Calibri" w:hAnsi="Calibri"/>
          <w:sz w:val="20"/>
          <w:szCs w:val="20"/>
        </w:rPr>
        <w:t xml:space="preserve">Refus du remboursement-piège (montant minimum, conditions abusives).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w:t>
      </w:r>
    </w:p>
    <w:p>
      <w:pPr>
        <w:spacing w:after="100" w:line="280"/>
        <w:jc w:val="both"/>
      </w:pPr>
      <w:r>
        <w:rPr>
          <w:rFonts w:ascii="Calibri" w:cs="Calibri" w:eastAsia="Calibri" w:hAnsi="Calibri"/>
          <w:i/>
          <w:iCs/>
          <w:color w:val="555555"/>
          <w:sz w:val="18"/>
          <w:szCs w:val="18"/>
        </w:rPr>
        <w:t xml:space="preserve">Cohérence avec : CGV, Procédure de réclamation détaillée, Programme de fidélisation Eventy Famille, Plan comptable et processus mensuel, Note expert-comptable, Onboarding voyageur, Offre CSE / B2B, Charte mineurs voyageurs.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avoirs et remboursements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 gestion des avoirs et remboursements</dc:title>
  <dc:creator>David Eventy — Eventy Life SAS</dc:creator>
  <dc:description>Règles concrètes de remboursement et avoirs voyageurs Eventy.</dc:description>
  <cp:lastModifiedBy>Un-named</cp:lastModifiedBy>
  <cp:revision>1</cp:revision>
  <dcterms:created xsi:type="dcterms:W3CDTF">2026-05-02T04:53:01.105Z</dcterms:created>
  <dcterms:modified xsi:type="dcterms:W3CDTF">2026-05-02T04:53:01.106Z</dcterms:modified>
</cp:coreProperties>
</file>

<file path=docProps/custom.xml><?xml version="1.0" encoding="utf-8"?>
<Properties xmlns="http://schemas.openxmlformats.org/officeDocument/2006/custom-properties" xmlns:vt="http://schemas.openxmlformats.org/officeDocument/2006/docPropsVTypes"/>
</file>