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POLITIQUE DE COMMUNICATION POST-INCIDENT VOYAGEUR</w:t>
            </w:r>
          </w:p>
          <w:p>
            <w:pPr>
              <w:spacing w:after="0"/>
              <w:jc w:val="center"/>
            </w:pPr>
            <w:r>
              <w:rPr>
                <w:rFonts w:ascii="Calibri" w:cs="Calibri" w:eastAsia="Calibri" w:hAnsi="Calibri"/>
                <w:i/>
                <w:iCs/>
                <w:color w:val="1F4E79"/>
                <w:sz w:val="18"/>
                <w:szCs w:val="18"/>
              </w:rPr>
              <w:t xml:space="preserve">Suivi humain du voyageur après un incident de voyage</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La présente politique formalise le suivi du voyageur après un incident vécu pendant un voyage Eventy. Elle complète le Manuel d'incident voyage (qui couvre la gestion opérationnelle pendant l'incident), la Procédure de réclamation détaillée (qui couvre le traitement administratif des suites) et la Politique de gestion des avoirs et remboursements (volet financier).</w:t>
      </w:r>
    </w:p>
    <w:p>
      <w:pPr>
        <w:spacing w:after="100" w:line="280"/>
        <w:jc w:val="both"/>
      </w:pPr>
      <w:r>
        <w:rPr>
          <w:rFonts w:ascii="Calibri" w:cs="Calibri" w:eastAsia="Calibri" w:hAnsi="Calibri"/>
          <w:i/>
          <w:iCs/>
          <w:color w:val="1A1A1A"/>
          <w:sz w:val="20"/>
          <w:szCs w:val="20"/>
        </w:rPr>
        <w:t xml:space="preserve">Eventy considère qu'un voyageur ayant vécu un incident a besoin d'attention humaine dans la durée — pas seulement d'un règlement administratif. Notre approche : suivi personnalisé, écoute, geste empathique adapté, refus de l'oubli post-règlement. Un voyageur bien suivi après un incident reste souvent voyageur Eventy.</w:t>
      </w:r>
    </w:p>
    <w:p>
      <w:pPr>
        <w:spacing w:after="160" w:before="240"/>
      </w:pPr>
      <w:r>
        <w:rPr>
          <w:rFonts w:ascii="Calibri" w:cs="Calibri" w:eastAsia="Calibri" w:hAnsi="Calibri"/>
          <w:b/>
          <w:bCs/>
          <w:color w:val="1F4E79"/>
          <w:sz w:val="32"/>
          <w:szCs w:val="32"/>
        </w:rPr>
        <w:t xml:space="preserve">1. Cadre</w:t>
      </w:r>
    </w:p>
    <w:p>
      <w:pPr>
        <w:spacing w:after="100" w:before="220"/>
      </w:pPr>
      <w:r>
        <w:rPr>
          <w:rFonts w:ascii="Calibri" w:cs="Calibri" w:eastAsia="Calibri" w:hAnsi="Calibri"/>
          <w:b/>
          <w:bCs/>
          <w:color w:val="E87722"/>
          <w:sz w:val="22"/>
          <w:szCs w:val="22"/>
        </w:rPr>
        <w:t xml:space="preserve">1.1. Périmètre</w:t>
      </w:r>
    </w:p>
    <w:p>
      <w:pPr>
        <w:pStyle w:val="ListParagraph"/>
        <w:numPr>
          <w:ilvl w:val="0"/>
          <w:numId w:val="2"/>
        </w:numPr>
        <w:spacing w:after="60" w:line="260"/>
      </w:pPr>
      <w:r>
        <w:rPr>
          <w:rFonts w:ascii="Calibri" w:cs="Calibri" w:eastAsia="Calibri" w:hAnsi="Calibri"/>
          <w:sz w:val="20"/>
          <w:szCs w:val="20"/>
        </w:rPr>
        <w:t xml:space="preserve">Voyageurs ayant subi un incident pendant un voyage Eventy.</w:t>
      </w:r>
    </w:p>
    <w:p>
      <w:pPr>
        <w:pStyle w:val="ListParagraph"/>
        <w:numPr>
          <w:ilvl w:val="0"/>
          <w:numId w:val="2"/>
        </w:numPr>
        <w:spacing w:after="60" w:line="260"/>
      </w:pPr>
      <w:r>
        <w:rPr>
          <w:rFonts w:ascii="Calibri" w:cs="Calibri" w:eastAsia="Calibri" w:hAnsi="Calibri"/>
          <w:sz w:val="20"/>
          <w:szCs w:val="20"/>
        </w:rPr>
        <w:t xml:space="preserve">Niveaux d'incident concernés : 2 (modéré), 3 (majeur), 4 (critique) — cohérence Manuel d'incident voyage.</w:t>
      </w:r>
    </w:p>
    <w:p>
      <w:pPr>
        <w:pStyle w:val="ListParagraph"/>
        <w:numPr>
          <w:ilvl w:val="0"/>
          <w:numId w:val="2"/>
        </w:numPr>
        <w:spacing w:after="60" w:line="260"/>
      </w:pPr>
      <w:r>
        <w:rPr>
          <w:rFonts w:ascii="Calibri" w:cs="Calibri" w:eastAsia="Calibri" w:hAnsi="Calibri"/>
          <w:sz w:val="20"/>
          <w:szCs w:val="20"/>
        </w:rPr>
        <w:t xml:space="preserve">Niveau 1 (mineur) : suivi standard suffit.</w:t>
      </w:r>
    </w:p>
    <w:p>
      <w:pPr>
        <w:pStyle w:val="ListParagraph"/>
        <w:numPr>
          <w:ilvl w:val="0"/>
          <w:numId w:val="2"/>
        </w:numPr>
        <w:spacing w:after="60" w:line="260"/>
      </w:pPr>
      <w:r>
        <w:rPr>
          <w:rFonts w:ascii="Calibri" w:cs="Calibri" w:eastAsia="Calibri" w:hAnsi="Calibri"/>
          <w:sz w:val="20"/>
          <w:szCs w:val="20"/>
        </w:rPr>
        <w:t xml:space="preserve">Famille / proches du voyageur en cas d'incident grave.</w:t>
      </w:r>
    </w:p>
    <w:p>
      <w:pPr>
        <w:spacing w:after="100" w:before="220"/>
      </w:pPr>
      <w:r>
        <w:rPr>
          <w:rFonts w:ascii="Calibri" w:cs="Calibri" w:eastAsia="Calibri" w:hAnsi="Calibri"/>
          <w:b/>
          <w:bCs/>
          <w:color w:val="E87722"/>
          <w:sz w:val="22"/>
          <w:szCs w:val="22"/>
        </w:rPr>
        <w:t xml:space="preserve">1.2. Objectifs</w:t>
      </w:r>
    </w:p>
    <w:p>
      <w:pPr>
        <w:pStyle w:val="ListParagraph"/>
        <w:numPr>
          <w:ilvl w:val="0"/>
          <w:numId w:val="2"/>
        </w:numPr>
        <w:spacing w:after="60" w:line="260"/>
      </w:pPr>
      <w:r>
        <w:rPr>
          <w:rFonts w:ascii="Calibri" w:cs="Calibri" w:eastAsia="Calibri" w:hAnsi="Calibri"/>
          <w:sz w:val="20"/>
          <w:szCs w:val="20"/>
        </w:rPr>
        <w:t xml:space="preserve">Reconnaître l'incident vécu.</w:t>
      </w:r>
    </w:p>
    <w:p>
      <w:pPr>
        <w:pStyle w:val="ListParagraph"/>
        <w:numPr>
          <w:ilvl w:val="0"/>
          <w:numId w:val="2"/>
        </w:numPr>
        <w:spacing w:after="60" w:line="260"/>
      </w:pPr>
      <w:r>
        <w:rPr>
          <w:rFonts w:ascii="Calibri" w:cs="Calibri" w:eastAsia="Calibri" w:hAnsi="Calibri"/>
          <w:sz w:val="20"/>
          <w:szCs w:val="20"/>
        </w:rPr>
        <w:t xml:space="preserve">Maintenir un lien humain dans la durée.</w:t>
      </w:r>
    </w:p>
    <w:p>
      <w:pPr>
        <w:pStyle w:val="ListParagraph"/>
        <w:numPr>
          <w:ilvl w:val="0"/>
          <w:numId w:val="2"/>
        </w:numPr>
        <w:spacing w:after="60" w:line="260"/>
      </w:pPr>
      <w:r>
        <w:rPr>
          <w:rFonts w:ascii="Calibri" w:cs="Calibri" w:eastAsia="Calibri" w:hAnsi="Calibri"/>
          <w:sz w:val="20"/>
          <w:szCs w:val="20"/>
        </w:rPr>
        <w:t xml:space="preserve">Régler équitablement les suites administratives.</w:t>
      </w:r>
    </w:p>
    <w:p>
      <w:pPr>
        <w:pStyle w:val="ListParagraph"/>
        <w:numPr>
          <w:ilvl w:val="0"/>
          <w:numId w:val="2"/>
        </w:numPr>
        <w:spacing w:after="60" w:line="260"/>
      </w:pPr>
      <w:r>
        <w:rPr>
          <w:rFonts w:ascii="Calibri" w:cs="Calibri" w:eastAsia="Calibri" w:hAnsi="Calibri"/>
          <w:sz w:val="20"/>
          <w:szCs w:val="20"/>
        </w:rPr>
        <w:t xml:space="preserve">Identifier et corriger la cause racine (cohérence Procédure d'amélioration continue).</w:t>
      </w:r>
    </w:p>
    <w:p>
      <w:pPr>
        <w:pStyle w:val="ListParagraph"/>
        <w:numPr>
          <w:ilvl w:val="0"/>
          <w:numId w:val="2"/>
        </w:numPr>
        <w:spacing w:after="60" w:line="260"/>
      </w:pPr>
      <w:r>
        <w:rPr>
          <w:rFonts w:ascii="Calibri" w:cs="Calibri" w:eastAsia="Calibri" w:hAnsi="Calibri"/>
          <w:sz w:val="20"/>
          <w:szCs w:val="20"/>
        </w:rPr>
        <w:t xml:space="preserve">Préserver la relation de confiance.</w:t>
      </w:r>
    </w:p>
    <w:p>
      <w:pPr>
        <w:spacing w:after="160" w:before="240"/>
      </w:pPr>
      <w:r>
        <w:rPr>
          <w:rFonts w:ascii="Calibri" w:cs="Calibri" w:eastAsia="Calibri" w:hAnsi="Calibri"/>
          <w:b/>
          <w:bCs/>
          <w:color w:val="1F4E79"/>
          <w:sz w:val="32"/>
          <w:szCs w:val="32"/>
        </w:rPr>
        <w:t xml:space="preserve">2. Principes directeurs</w:t>
      </w:r>
    </w:p>
    <w:p>
      <w:pPr>
        <w:spacing w:after="100" w:before="220"/>
      </w:pPr>
      <w:r>
        <w:rPr>
          <w:rFonts w:ascii="Calibri" w:cs="Calibri" w:eastAsia="Calibri" w:hAnsi="Calibri"/>
          <w:b/>
          <w:bCs/>
          <w:color w:val="E87722"/>
          <w:sz w:val="22"/>
          <w:szCs w:val="22"/>
        </w:rPr>
        <w:t xml:space="preserve">2.1. Cinq principes</w:t>
      </w:r>
    </w:p>
    <w:p>
      <w:pPr>
        <w:pStyle w:val="ListParagraph"/>
        <w:numPr>
          <w:ilvl w:val="0"/>
          <w:numId w:val="2"/>
        </w:numPr>
        <w:spacing w:after="60" w:line="260"/>
      </w:pPr>
      <w:r>
        <w:rPr>
          <w:rFonts w:ascii="Calibri" w:cs="Calibri" w:eastAsia="Calibri" w:hAnsi="Calibri"/>
          <w:sz w:val="20"/>
          <w:szCs w:val="20"/>
        </w:rPr>
        <w:t xml:space="preserve">Empathie — l'incident vécu est réel pour le voyageur.</w:t>
      </w:r>
    </w:p>
    <w:p>
      <w:pPr>
        <w:pStyle w:val="ListParagraph"/>
        <w:numPr>
          <w:ilvl w:val="0"/>
          <w:numId w:val="2"/>
        </w:numPr>
        <w:spacing w:after="60" w:line="260"/>
      </w:pPr>
      <w:r>
        <w:rPr>
          <w:rFonts w:ascii="Calibri" w:cs="Calibri" w:eastAsia="Calibri" w:hAnsi="Calibri"/>
          <w:sz w:val="20"/>
          <w:szCs w:val="20"/>
        </w:rPr>
        <w:t xml:space="preserve">Reconnaissance — refus du déni ou de la minimisation.</w:t>
      </w:r>
    </w:p>
    <w:p>
      <w:pPr>
        <w:pStyle w:val="ListParagraph"/>
        <w:numPr>
          <w:ilvl w:val="0"/>
          <w:numId w:val="2"/>
        </w:numPr>
        <w:spacing w:after="60" w:line="260"/>
      </w:pPr>
      <w:r>
        <w:rPr>
          <w:rFonts w:ascii="Calibri" w:cs="Calibri" w:eastAsia="Calibri" w:hAnsi="Calibri"/>
          <w:sz w:val="20"/>
          <w:szCs w:val="20"/>
        </w:rPr>
        <w:t xml:space="preserve">Suivi — pas d'oubli post-règlement.</w:t>
      </w:r>
    </w:p>
    <w:p>
      <w:pPr>
        <w:pStyle w:val="ListParagraph"/>
        <w:numPr>
          <w:ilvl w:val="0"/>
          <w:numId w:val="2"/>
        </w:numPr>
        <w:spacing w:after="60" w:line="260"/>
      </w:pPr>
      <w:r>
        <w:rPr>
          <w:rFonts w:ascii="Calibri" w:cs="Calibri" w:eastAsia="Calibri" w:hAnsi="Calibri"/>
          <w:sz w:val="20"/>
          <w:szCs w:val="20"/>
        </w:rPr>
        <w:t xml:space="preserve">Geste juste — au bon niveau, ni minimaliste ni excessif.</w:t>
      </w:r>
    </w:p>
    <w:p>
      <w:pPr>
        <w:pStyle w:val="ListParagraph"/>
        <w:numPr>
          <w:ilvl w:val="0"/>
          <w:numId w:val="2"/>
        </w:numPr>
        <w:spacing w:after="60" w:line="260"/>
      </w:pPr>
      <w:r>
        <w:rPr>
          <w:rFonts w:ascii="Calibri" w:cs="Calibri" w:eastAsia="Calibri" w:hAnsi="Calibri"/>
          <w:sz w:val="20"/>
          <w:szCs w:val="20"/>
        </w:rPr>
        <w:t xml:space="preserve">Apprentissage — chaque incident améliore Eventy.</w:t>
      </w:r>
    </w:p>
    <w:p>
      <w:pPr>
        <w:spacing w:after="100" w:before="220"/>
      </w:pPr>
      <w:r>
        <w:rPr>
          <w:rFonts w:ascii="Calibri" w:cs="Calibri" w:eastAsia="Calibri" w:hAnsi="Calibri"/>
          <w:b/>
          <w:bCs/>
          <w:color w:val="E87722"/>
          <w:sz w:val="22"/>
          <w:szCs w:val="22"/>
        </w:rPr>
        <w:t xml:space="preserve">2.2. Refus structurés</w:t>
      </w:r>
    </w:p>
    <w:p>
      <w:pPr>
        <w:pStyle w:val="ListParagraph"/>
        <w:numPr>
          <w:ilvl w:val="0"/>
          <w:numId w:val="2"/>
        </w:numPr>
        <w:spacing w:after="60" w:line="260"/>
      </w:pPr>
      <w:r>
        <w:rPr>
          <w:rFonts w:ascii="Calibri" w:cs="Calibri" w:eastAsia="Calibri" w:hAnsi="Calibri"/>
          <w:sz w:val="20"/>
          <w:szCs w:val="20"/>
        </w:rPr>
        <w:t xml:space="preserve">Refus de la communication standardisée (réponses-types).</w:t>
      </w:r>
    </w:p>
    <w:p>
      <w:pPr>
        <w:pStyle w:val="ListParagraph"/>
        <w:numPr>
          <w:ilvl w:val="0"/>
          <w:numId w:val="2"/>
        </w:numPr>
        <w:spacing w:after="60" w:line="260"/>
      </w:pPr>
      <w:r>
        <w:rPr>
          <w:rFonts w:ascii="Calibri" w:cs="Calibri" w:eastAsia="Calibri" w:hAnsi="Calibri"/>
          <w:sz w:val="20"/>
          <w:szCs w:val="20"/>
        </w:rPr>
        <w:t xml:space="preserve">Refus de la minimisation (« ce n'est pas si grave »).</w:t>
      </w:r>
    </w:p>
    <w:p>
      <w:pPr>
        <w:pStyle w:val="ListParagraph"/>
        <w:numPr>
          <w:ilvl w:val="0"/>
          <w:numId w:val="2"/>
        </w:numPr>
        <w:spacing w:after="60" w:line="260"/>
      </w:pPr>
      <w:r>
        <w:rPr>
          <w:rFonts w:ascii="Calibri" w:cs="Calibri" w:eastAsia="Calibri" w:hAnsi="Calibri"/>
          <w:sz w:val="20"/>
          <w:szCs w:val="20"/>
        </w:rPr>
        <w:t xml:space="preserve">Refus du déni de responsabilité (« ce n'est pas de notre faute »).</w:t>
      </w:r>
    </w:p>
    <w:p>
      <w:pPr>
        <w:pStyle w:val="ListParagraph"/>
        <w:numPr>
          <w:ilvl w:val="0"/>
          <w:numId w:val="2"/>
        </w:numPr>
        <w:spacing w:after="60" w:line="260"/>
      </w:pPr>
      <w:r>
        <w:rPr>
          <w:rFonts w:ascii="Calibri" w:cs="Calibri" w:eastAsia="Calibri" w:hAnsi="Calibri"/>
          <w:sz w:val="20"/>
          <w:szCs w:val="20"/>
        </w:rPr>
        <w:t xml:space="preserve">Refus du règlement uniquement administratif.</w:t>
      </w:r>
    </w:p>
    <w:p>
      <w:pPr>
        <w:pStyle w:val="ListParagraph"/>
        <w:numPr>
          <w:ilvl w:val="0"/>
          <w:numId w:val="2"/>
        </w:numPr>
        <w:spacing w:after="60" w:line="260"/>
      </w:pPr>
      <w:r>
        <w:rPr>
          <w:rFonts w:ascii="Calibri" w:cs="Calibri" w:eastAsia="Calibri" w:hAnsi="Calibri"/>
          <w:sz w:val="20"/>
          <w:szCs w:val="20"/>
        </w:rPr>
        <w:t xml:space="preserve">Refus de l'oubli après le règlement.</w:t>
      </w:r>
    </w:p>
    <w:p>
      <w:pPr>
        <w:pStyle w:val="ListParagraph"/>
        <w:numPr>
          <w:ilvl w:val="0"/>
          <w:numId w:val="2"/>
        </w:numPr>
        <w:spacing w:after="60" w:line="260"/>
      </w:pPr>
      <w:r>
        <w:rPr>
          <w:rFonts w:ascii="Calibri" w:cs="Calibri" w:eastAsia="Calibri" w:hAnsi="Calibri"/>
          <w:sz w:val="20"/>
          <w:szCs w:val="20"/>
        </w:rPr>
        <w:t xml:space="preserve">Refus de la condition (« si tu ne dis rien sur les réseaux »).</w:t>
      </w:r>
    </w:p>
    <w:p>
      <w:pPr>
        <w:spacing w:after="160" w:before="240"/>
      </w:pPr>
      <w:r>
        <w:rPr>
          <w:rFonts w:ascii="Calibri" w:cs="Calibri" w:eastAsia="Calibri" w:hAnsi="Calibri"/>
          <w:b/>
          <w:bCs/>
          <w:color w:val="1F4E79"/>
          <w:sz w:val="32"/>
          <w:szCs w:val="32"/>
        </w:rPr>
        <w:t xml:space="preserve">3. Phases du suivi</w:t>
      </w:r>
    </w:p>
    <w:p>
      <w:pPr>
        <w:spacing w:after="100" w:before="220"/>
      </w:pPr>
      <w:r>
        <w:rPr>
          <w:rFonts w:ascii="Calibri" w:cs="Calibri" w:eastAsia="Calibri" w:hAnsi="Calibri"/>
          <w:b/>
          <w:bCs/>
          <w:color w:val="E87722"/>
          <w:sz w:val="22"/>
          <w:szCs w:val="22"/>
        </w:rPr>
        <w:t xml:space="preserve">3.1. Phase 1 — Pendant l'incident</w:t>
      </w:r>
    </w:p>
    <w:p>
      <w:pPr>
        <w:pStyle w:val="ListParagraph"/>
        <w:numPr>
          <w:ilvl w:val="0"/>
          <w:numId w:val="2"/>
        </w:numPr>
        <w:spacing w:after="60" w:line="260"/>
      </w:pPr>
      <w:r>
        <w:rPr>
          <w:rFonts w:ascii="Calibri" w:cs="Calibri" w:eastAsia="Calibri" w:hAnsi="Calibri"/>
          <w:sz w:val="20"/>
          <w:szCs w:val="20"/>
        </w:rPr>
        <w:t xml:space="preserve">Cohérence avec Manuel d'incident voyage.</w:t>
      </w:r>
    </w:p>
    <w:p>
      <w:pPr>
        <w:pStyle w:val="ListParagraph"/>
        <w:numPr>
          <w:ilvl w:val="0"/>
          <w:numId w:val="2"/>
        </w:numPr>
        <w:spacing w:after="60" w:line="260"/>
      </w:pPr>
      <w:r>
        <w:rPr>
          <w:rFonts w:ascii="Calibri" w:cs="Calibri" w:eastAsia="Calibri" w:hAnsi="Calibri"/>
          <w:sz w:val="20"/>
          <w:szCs w:val="20"/>
        </w:rPr>
        <w:t xml:space="preserve">Communication transparente à chaud.</w:t>
      </w:r>
    </w:p>
    <w:p>
      <w:pPr>
        <w:pStyle w:val="ListParagraph"/>
        <w:numPr>
          <w:ilvl w:val="0"/>
          <w:numId w:val="2"/>
        </w:numPr>
        <w:spacing w:after="60" w:line="260"/>
      </w:pPr>
      <w:r>
        <w:rPr>
          <w:rFonts w:ascii="Calibri" w:cs="Calibri" w:eastAsia="Calibri" w:hAnsi="Calibri"/>
          <w:sz w:val="20"/>
          <w:szCs w:val="20"/>
        </w:rPr>
        <w:t xml:space="preserve">Activation Pack Sérénité si applicable.</w:t>
      </w:r>
    </w:p>
    <w:p>
      <w:pPr>
        <w:pStyle w:val="ListParagraph"/>
        <w:numPr>
          <w:ilvl w:val="0"/>
          <w:numId w:val="2"/>
        </w:numPr>
        <w:spacing w:after="60" w:line="260"/>
      </w:pPr>
      <w:r>
        <w:rPr>
          <w:rFonts w:ascii="Calibri" w:cs="Calibri" w:eastAsia="Calibri" w:hAnsi="Calibri"/>
          <w:sz w:val="20"/>
          <w:szCs w:val="20"/>
        </w:rPr>
        <w:t xml:space="preserve">Communication aux proches du voyageur si nécessaire.</w:t>
      </w:r>
    </w:p>
    <w:p>
      <w:pPr>
        <w:spacing w:after="100" w:before="220"/>
      </w:pPr>
      <w:r>
        <w:rPr>
          <w:rFonts w:ascii="Calibri" w:cs="Calibri" w:eastAsia="Calibri" w:hAnsi="Calibri"/>
          <w:b/>
          <w:bCs/>
          <w:color w:val="E87722"/>
          <w:sz w:val="22"/>
          <w:szCs w:val="22"/>
        </w:rPr>
        <w:t xml:space="preserve">3.2. Phase 2 — Retour de voyage (J0)</w:t>
      </w:r>
    </w:p>
    <w:p>
      <w:pPr>
        <w:pStyle w:val="ListParagraph"/>
        <w:numPr>
          <w:ilvl w:val="0"/>
          <w:numId w:val="2"/>
        </w:numPr>
        <w:spacing w:after="60" w:line="260"/>
      </w:pPr>
      <w:r>
        <w:rPr>
          <w:rFonts w:ascii="Calibri" w:cs="Calibri" w:eastAsia="Calibri" w:hAnsi="Calibri"/>
          <w:sz w:val="20"/>
          <w:szCs w:val="20"/>
        </w:rPr>
        <w:t xml:space="preserve">Appel téléphonique du Président ou du référent au retour.</w:t>
      </w:r>
    </w:p>
    <w:p>
      <w:pPr>
        <w:pStyle w:val="ListParagraph"/>
        <w:numPr>
          <w:ilvl w:val="0"/>
          <w:numId w:val="2"/>
        </w:numPr>
        <w:spacing w:after="60" w:line="260"/>
      </w:pPr>
      <w:r>
        <w:rPr>
          <w:rFonts w:ascii="Calibri" w:cs="Calibri" w:eastAsia="Calibri" w:hAnsi="Calibri"/>
          <w:sz w:val="20"/>
          <w:szCs w:val="20"/>
        </w:rPr>
        <w:t xml:space="preserve">Reconnaissance de l'incident vécu.</w:t>
      </w:r>
    </w:p>
    <w:p>
      <w:pPr>
        <w:pStyle w:val="ListParagraph"/>
        <w:numPr>
          <w:ilvl w:val="0"/>
          <w:numId w:val="2"/>
        </w:numPr>
        <w:spacing w:after="60" w:line="260"/>
      </w:pPr>
      <w:r>
        <w:rPr>
          <w:rFonts w:ascii="Calibri" w:cs="Calibri" w:eastAsia="Calibri" w:hAnsi="Calibri"/>
          <w:sz w:val="20"/>
          <w:szCs w:val="20"/>
        </w:rPr>
        <w:t xml:space="preserve">Demande de comment va le voyageur (santé, moral).</w:t>
      </w:r>
    </w:p>
    <w:p>
      <w:pPr>
        <w:pStyle w:val="ListParagraph"/>
        <w:numPr>
          <w:ilvl w:val="0"/>
          <w:numId w:val="2"/>
        </w:numPr>
        <w:spacing w:after="60" w:line="260"/>
      </w:pPr>
      <w:r>
        <w:rPr>
          <w:rFonts w:ascii="Calibri" w:cs="Calibri" w:eastAsia="Calibri" w:hAnsi="Calibri"/>
          <w:sz w:val="20"/>
          <w:szCs w:val="20"/>
        </w:rPr>
        <w:t xml:space="preserve">Information sur les suites prévues (réclamation, remboursement, geste).</w:t>
      </w:r>
    </w:p>
    <w:p>
      <w:pPr>
        <w:spacing w:after="100" w:before="220"/>
      </w:pPr>
      <w:r>
        <w:rPr>
          <w:rFonts w:ascii="Calibri" w:cs="Calibri" w:eastAsia="Calibri" w:hAnsi="Calibri"/>
          <w:b/>
          <w:bCs/>
          <w:color w:val="E87722"/>
          <w:sz w:val="22"/>
          <w:szCs w:val="22"/>
        </w:rPr>
        <w:t xml:space="preserve">3.3. Phase 3 — Réclamation formelle (J+1 à J+7)</w:t>
      </w:r>
    </w:p>
    <w:p>
      <w:pPr>
        <w:pStyle w:val="ListParagraph"/>
        <w:numPr>
          <w:ilvl w:val="0"/>
          <w:numId w:val="2"/>
        </w:numPr>
        <w:spacing w:after="60" w:line="260"/>
      </w:pPr>
      <w:r>
        <w:rPr>
          <w:rFonts w:ascii="Calibri" w:cs="Calibri" w:eastAsia="Calibri" w:hAnsi="Calibri"/>
          <w:sz w:val="20"/>
          <w:szCs w:val="20"/>
        </w:rPr>
        <w:t xml:space="preserve">Cohérence avec Procédure de réclamation détaillée.</w:t>
      </w:r>
    </w:p>
    <w:p>
      <w:pPr>
        <w:pStyle w:val="ListParagraph"/>
        <w:numPr>
          <w:ilvl w:val="0"/>
          <w:numId w:val="2"/>
        </w:numPr>
        <w:spacing w:after="60" w:line="260"/>
      </w:pPr>
      <w:r>
        <w:rPr>
          <w:rFonts w:ascii="Calibri" w:cs="Calibri" w:eastAsia="Calibri" w:hAnsi="Calibri"/>
          <w:sz w:val="20"/>
          <w:szCs w:val="20"/>
        </w:rPr>
        <w:t xml:space="preserve">Accompagnement du voyageur dans la formalisation de sa réclamation.</w:t>
      </w:r>
    </w:p>
    <w:p>
      <w:pPr>
        <w:pStyle w:val="ListParagraph"/>
        <w:numPr>
          <w:ilvl w:val="0"/>
          <w:numId w:val="2"/>
        </w:numPr>
        <w:spacing w:after="60" w:line="260"/>
      </w:pPr>
      <w:r>
        <w:rPr>
          <w:rFonts w:ascii="Calibri" w:cs="Calibri" w:eastAsia="Calibri" w:hAnsi="Calibri"/>
          <w:sz w:val="20"/>
          <w:szCs w:val="20"/>
        </w:rPr>
        <w:t xml:space="preserve">Délai de réponse confirmé.</w:t>
      </w:r>
    </w:p>
    <w:p>
      <w:pPr>
        <w:pStyle w:val="ListParagraph"/>
        <w:numPr>
          <w:ilvl w:val="0"/>
          <w:numId w:val="2"/>
        </w:numPr>
        <w:spacing w:after="60" w:line="260"/>
      </w:pPr>
      <w:r>
        <w:rPr>
          <w:rFonts w:ascii="Calibri" w:cs="Calibri" w:eastAsia="Calibri" w:hAnsi="Calibri"/>
          <w:sz w:val="20"/>
          <w:szCs w:val="20"/>
        </w:rPr>
        <w:t xml:space="preserve">Pas de pression à minimiser.</w:t>
      </w:r>
    </w:p>
    <w:p>
      <w:pPr>
        <w:spacing w:after="100" w:before="220"/>
      </w:pPr>
      <w:r>
        <w:rPr>
          <w:rFonts w:ascii="Calibri" w:cs="Calibri" w:eastAsia="Calibri" w:hAnsi="Calibri"/>
          <w:b/>
          <w:bCs/>
          <w:color w:val="E87722"/>
          <w:sz w:val="22"/>
          <w:szCs w:val="22"/>
        </w:rPr>
        <w:t xml:space="preserve">3.4. Phase 4 — Règlement (J+15 à J+30)</w:t>
      </w:r>
    </w:p>
    <w:p>
      <w:pPr>
        <w:pStyle w:val="ListParagraph"/>
        <w:numPr>
          <w:ilvl w:val="0"/>
          <w:numId w:val="2"/>
        </w:numPr>
        <w:spacing w:after="60" w:line="260"/>
      </w:pPr>
      <w:r>
        <w:rPr>
          <w:rFonts w:ascii="Calibri" w:cs="Calibri" w:eastAsia="Calibri" w:hAnsi="Calibri"/>
          <w:sz w:val="20"/>
          <w:szCs w:val="20"/>
        </w:rPr>
        <w:t xml:space="preserve">Cohérence avec Politique de gestion des avoirs et remboursements.</w:t>
      </w:r>
    </w:p>
    <w:p>
      <w:pPr>
        <w:pStyle w:val="ListParagraph"/>
        <w:numPr>
          <w:ilvl w:val="0"/>
          <w:numId w:val="2"/>
        </w:numPr>
        <w:spacing w:after="60" w:line="260"/>
      </w:pPr>
      <w:r>
        <w:rPr>
          <w:rFonts w:ascii="Calibri" w:cs="Calibri" w:eastAsia="Calibri" w:hAnsi="Calibri"/>
          <w:sz w:val="20"/>
          <w:szCs w:val="20"/>
        </w:rPr>
        <w:t xml:space="preserve">Geste empathique adapté à la gravité (remboursement, avoir, indemnité).</w:t>
      </w:r>
    </w:p>
    <w:p>
      <w:pPr>
        <w:pStyle w:val="ListParagraph"/>
        <w:numPr>
          <w:ilvl w:val="0"/>
          <w:numId w:val="2"/>
        </w:numPr>
        <w:spacing w:after="60" w:line="260"/>
      </w:pPr>
      <w:r>
        <w:rPr>
          <w:rFonts w:ascii="Calibri" w:cs="Calibri" w:eastAsia="Calibri" w:hAnsi="Calibri"/>
          <w:sz w:val="20"/>
          <w:szCs w:val="20"/>
        </w:rPr>
        <w:t xml:space="preserve">Communication écrite du règlement (motivée).</w:t>
      </w:r>
    </w:p>
    <w:p>
      <w:pPr>
        <w:pStyle w:val="ListParagraph"/>
        <w:numPr>
          <w:ilvl w:val="0"/>
          <w:numId w:val="2"/>
        </w:numPr>
        <w:spacing w:after="60" w:line="260"/>
      </w:pPr>
      <w:r>
        <w:rPr>
          <w:rFonts w:ascii="Calibri" w:cs="Calibri" w:eastAsia="Calibri" w:hAnsi="Calibri"/>
          <w:sz w:val="20"/>
          <w:szCs w:val="20"/>
        </w:rPr>
        <w:t xml:space="preserve">Validation Président pour gestes &gt; 200 €.</w:t>
      </w:r>
    </w:p>
    <w:p>
      <w:pPr>
        <w:spacing w:after="100" w:before="220"/>
      </w:pPr>
      <w:r>
        <w:rPr>
          <w:rFonts w:ascii="Calibri" w:cs="Calibri" w:eastAsia="Calibri" w:hAnsi="Calibri"/>
          <w:b/>
          <w:bCs/>
          <w:color w:val="E87722"/>
          <w:sz w:val="22"/>
          <w:szCs w:val="22"/>
        </w:rPr>
        <w:t xml:space="preserve">3.5. Phase 5 — Suivi long terme (J+30 à J+90)</w:t>
      </w:r>
    </w:p>
    <w:p>
      <w:pPr>
        <w:pStyle w:val="ListParagraph"/>
        <w:numPr>
          <w:ilvl w:val="0"/>
          <w:numId w:val="2"/>
        </w:numPr>
        <w:spacing w:after="60" w:line="260"/>
      </w:pPr>
      <w:r>
        <w:rPr>
          <w:rFonts w:ascii="Calibri" w:cs="Calibri" w:eastAsia="Calibri" w:hAnsi="Calibri"/>
          <w:sz w:val="20"/>
          <w:szCs w:val="20"/>
        </w:rPr>
        <w:t xml:space="preserve">Appel à J+30 — comment va le voyageur depuis.</w:t>
      </w:r>
    </w:p>
    <w:p>
      <w:pPr>
        <w:pStyle w:val="ListParagraph"/>
        <w:numPr>
          <w:ilvl w:val="0"/>
          <w:numId w:val="2"/>
        </w:numPr>
        <w:spacing w:after="60" w:line="260"/>
      </w:pPr>
      <w:r>
        <w:rPr>
          <w:rFonts w:ascii="Calibri" w:cs="Calibri" w:eastAsia="Calibri" w:hAnsi="Calibri"/>
          <w:sz w:val="20"/>
          <w:szCs w:val="20"/>
        </w:rPr>
        <w:t xml:space="preserve">Email à J+60 — vérification que le règlement a été reçu et accepté.</w:t>
      </w:r>
    </w:p>
    <w:p>
      <w:pPr>
        <w:pStyle w:val="ListParagraph"/>
        <w:numPr>
          <w:ilvl w:val="0"/>
          <w:numId w:val="2"/>
        </w:numPr>
        <w:spacing w:after="60" w:line="260"/>
      </w:pPr>
      <w:r>
        <w:rPr>
          <w:rFonts w:ascii="Calibri" w:cs="Calibri" w:eastAsia="Calibri" w:hAnsi="Calibri"/>
          <w:sz w:val="20"/>
          <w:szCs w:val="20"/>
        </w:rPr>
        <w:t xml:space="preserve">Email à J+90 — invitation discrète à un futur voyage (avec attention particulière).</w:t>
      </w:r>
    </w:p>
    <w:p>
      <w:pPr>
        <w:spacing w:after="100" w:before="220"/>
      </w:pPr>
      <w:r>
        <w:rPr>
          <w:rFonts w:ascii="Calibri" w:cs="Calibri" w:eastAsia="Calibri" w:hAnsi="Calibri"/>
          <w:b/>
          <w:bCs/>
          <w:color w:val="E87722"/>
          <w:sz w:val="22"/>
          <w:szCs w:val="22"/>
        </w:rPr>
        <w:t xml:space="preserve">3.6. Phase 6 — Anniversaire (J+365)</w:t>
      </w:r>
    </w:p>
    <w:p>
      <w:pPr>
        <w:pStyle w:val="ListParagraph"/>
        <w:numPr>
          <w:ilvl w:val="0"/>
          <w:numId w:val="2"/>
        </w:numPr>
        <w:spacing w:after="60" w:line="260"/>
      </w:pPr>
      <w:r>
        <w:rPr>
          <w:rFonts w:ascii="Calibri" w:cs="Calibri" w:eastAsia="Calibri" w:hAnsi="Calibri"/>
          <w:sz w:val="20"/>
          <w:szCs w:val="20"/>
        </w:rPr>
        <w:t xml:space="preserve">Email mémoire à l'anniversaire de l'incident.</w:t>
      </w:r>
    </w:p>
    <w:p>
      <w:pPr>
        <w:pStyle w:val="ListParagraph"/>
        <w:numPr>
          <w:ilvl w:val="0"/>
          <w:numId w:val="2"/>
        </w:numPr>
        <w:spacing w:after="60" w:line="260"/>
      </w:pPr>
      <w:r>
        <w:rPr>
          <w:rFonts w:ascii="Calibri" w:cs="Calibri" w:eastAsia="Calibri" w:hAnsi="Calibri"/>
          <w:sz w:val="20"/>
          <w:szCs w:val="20"/>
        </w:rPr>
        <w:t xml:space="preserve">Reconnaissance de la fidélité maintenue.</w:t>
      </w:r>
    </w:p>
    <w:p>
      <w:pPr>
        <w:pStyle w:val="ListParagraph"/>
        <w:numPr>
          <w:ilvl w:val="0"/>
          <w:numId w:val="2"/>
        </w:numPr>
        <w:spacing w:after="60" w:line="260"/>
      </w:pPr>
      <w:r>
        <w:rPr>
          <w:rFonts w:ascii="Calibri" w:cs="Calibri" w:eastAsia="Calibri" w:hAnsi="Calibri"/>
          <w:sz w:val="20"/>
          <w:szCs w:val="20"/>
        </w:rPr>
        <w:t xml:space="preserve">Possibilité de geste anniversaire.</w:t>
      </w:r>
    </w:p>
    <w:p>
      <w:pPr>
        <w:pStyle w:val="ListParagraph"/>
        <w:numPr>
          <w:ilvl w:val="0"/>
          <w:numId w:val="2"/>
        </w:numPr>
        <w:spacing w:after="60" w:line="260"/>
      </w:pPr>
      <w:r>
        <w:rPr>
          <w:rFonts w:ascii="Calibri" w:cs="Calibri" w:eastAsia="Calibri" w:hAnsi="Calibri"/>
          <w:sz w:val="20"/>
          <w:szCs w:val="20"/>
        </w:rPr>
        <w:t xml:space="preserve">Refus de la communication automatique froide.</w:t>
      </w:r>
    </w:p>
    <w:p>
      <w:pPr>
        <w:spacing w:after="160" w:before="240"/>
      </w:pPr>
      <w:r>
        <w:rPr>
          <w:rFonts w:ascii="Calibri" w:cs="Calibri" w:eastAsia="Calibri" w:hAnsi="Calibri"/>
          <w:b/>
          <w:bCs/>
          <w:color w:val="1F4E79"/>
          <w:sz w:val="32"/>
          <w:szCs w:val="32"/>
        </w:rPr>
        <w:t xml:space="preserve">4. Modalités du geste empathique</w:t>
      </w:r>
    </w:p>
    <w:p>
      <w:pPr>
        <w:spacing w:after="100" w:before="220"/>
      </w:pPr>
      <w:r>
        <w:rPr>
          <w:rFonts w:ascii="Calibri" w:cs="Calibri" w:eastAsia="Calibri" w:hAnsi="Calibri"/>
          <w:b/>
          <w:bCs/>
          <w:color w:val="E87722"/>
          <w:sz w:val="22"/>
          <w:szCs w:val="22"/>
        </w:rPr>
        <w:t xml:space="preserve">4.1. Niveaux de geste selon incident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Niveau incident</w:t>
            </w:r>
          </w:p>
        </w:tc>
        <w:tc>
          <w:tcPr>
            <w:tcW w:type="dxa" w:w="312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Geste empathique typique</w:t>
            </w:r>
          </w:p>
        </w:tc>
        <w:tc>
          <w:tcPr>
            <w:tcW w:type="dxa" w:w="312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Validation</w:t>
            </w:r>
          </w:p>
        </w:tc>
      </w:tr>
      <w:tr>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Niveau 2 — Modéré</w:t>
            </w:r>
          </w:p>
        </w:tc>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Avoir voyage 50-100 €</w:t>
            </w:r>
          </w:p>
        </w:tc>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Équipe support</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Niveau 3 — Majeur</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Avoir 100-300 € + voyage offert sur prochaine saison</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Président</w:t>
            </w:r>
          </w:p>
        </w:tc>
      </w:tr>
      <w:tr>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Niveau 4 — Critique (santé, accident)</w:t>
            </w:r>
          </w:p>
        </w:tc>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Sur-mesure (peut atteindre 1 000 € + voyage)</w:t>
            </w:r>
          </w:p>
        </w:tc>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Président + avocat</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Décès</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Sur-mesure famille (au-delà CGV)</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Président + associés</w:t>
            </w:r>
          </w:p>
        </w:tc>
      </w:tr>
    </w:tbl>
    <w:p>
      <w:pPr>
        <w:spacing w:after="100" w:before="220"/>
      </w:pPr>
      <w:r>
        <w:rPr>
          <w:rFonts w:ascii="Calibri" w:cs="Calibri" w:eastAsia="Calibri" w:hAnsi="Calibri"/>
          <w:b/>
          <w:bCs/>
          <w:color w:val="E87722"/>
          <w:sz w:val="22"/>
          <w:szCs w:val="22"/>
        </w:rPr>
        <w:t xml:space="preserve">4.2. Refus structurés</w:t>
      </w:r>
    </w:p>
    <w:p>
      <w:pPr>
        <w:pStyle w:val="ListParagraph"/>
        <w:numPr>
          <w:ilvl w:val="0"/>
          <w:numId w:val="2"/>
        </w:numPr>
        <w:spacing w:after="60" w:line="260"/>
      </w:pPr>
      <w:r>
        <w:rPr>
          <w:rFonts w:ascii="Calibri" w:cs="Calibri" w:eastAsia="Calibri" w:hAnsi="Calibri"/>
          <w:sz w:val="20"/>
          <w:szCs w:val="20"/>
        </w:rPr>
        <w:t xml:space="preserve">Refus du geste minimaliste (« 20 € pour vous excuser »).</w:t>
      </w:r>
    </w:p>
    <w:p>
      <w:pPr>
        <w:pStyle w:val="ListParagraph"/>
        <w:numPr>
          <w:ilvl w:val="0"/>
          <w:numId w:val="2"/>
        </w:numPr>
        <w:spacing w:after="60" w:line="260"/>
      </w:pPr>
      <w:r>
        <w:rPr>
          <w:rFonts w:ascii="Calibri" w:cs="Calibri" w:eastAsia="Calibri" w:hAnsi="Calibri"/>
          <w:sz w:val="20"/>
          <w:szCs w:val="20"/>
        </w:rPr>
        <w:t xml:space="preserve">Refus du geste démesuré (qui crée des attentes irréalistes).</w:t>
      </w:r>
    </w:p>
    <w:p>
      <w:pPr>
        <w:pStyle w:val="ListParagraph"/>
        <w:numPr>
          <w:ilvl w:val="0"/>
          <w:numId w:val="2"/>
        </w:numPr>
        <w:spacing w:after="60" w:line="260"/>
      </w:pPr>
      <w:r>
        <w:rPr>
          <w:rFonts w:ascii="Calibri" w:cs="Calibri" w:eastAsia="Calibri" w:hAnsi="Calibri"/>
          <w:sz w:val="20"/>
          <w:szCs w:val="20"/>
        </w:rPr>
        <w:t xml:space="preserve">Refus du geste conditionnel (« si vous retirez votre avis »).</w:t>
      </w:r>
    </w:p>
    <w:p>
      <w:pPr>
        <w:pStyle w:val="ListParagraph"/>
        <w:numPr>
          <w:ilvl w:val="0"/>
          <w:numId w:val="2"/>
        </w:numPr>
        <w:spacing w:after="60" w:line="260"/>
      </w:pPr>
      <w:r>
        <w:rPr>
          <w:rFonts w:ascii="Calibri" w:cs="Calibri" w:eastAsia="Calibri" w:hAnsi="Calibri"/>
          <w:sz w:val="20"/>
          <w:szCs w:val="20"/>
        </w:rPr>
        <w:t xml:space="preserve">Refus du geste opaque (toujours motivé).</w:t>
      </w:r>
    </w:p>
    <w:p>
      <w:pPr>
        <w:spacing w:after="160" w:before="240"/>
      </w:pPr>
      <w:r>
        <w:rPr>
          <w:rFonts w:ascii="Calibri" w:cs="Calibri" w:eastAsia="Calibri" w:hAnsi="Calibri"/>
          <w:b/>
          <w:bCs/>
          <w:color w:val="1F4E79"/>
          <w:sz w:val="32"/>
          <w:szCs w:val="32"/>
        </w:rPr>
        <w:t xml:space="preserve">5. Communication interne</w:t>
      </w:r>
    </w:p>
    <w:p>
      <w:pPr>
        <w:spacing w:after="100" w:before="220"/>
      </w:pPr>
      <w:r>
        <w:rPr>
          <w:rFonts w:ascii="Calibri" w:cs="Calibri" w:eastAsia="Calibri" w:hAnsi="Calibri"/>
          <w:b/>
          <w:bCs/>
          <w:color w:val="E87722"/>
          <w:sz w:val="22"/>
          <w:szCs w:val="22"/>
        </w:rPr>
        <w:t xml:space="preserve">5.1. Information équipe</w:t>
      </w:r>
    </w:p>
    <w:p>
      <w:pPr>
        <w:pStyle w:val="ListParagraph"/>
        <w:numPr>
          <w:ilvl w:val="0"/>
          <w:numId w:val="2"/>
        </w:numPr>
        <w:spacing w:after="60" w:line="260"/>
      </w:pPr>
      <w:r>
        <w:rPr>
          <w:rFonts w:ascii="Calibri" w:cs="Calibri" w:eastAsia="Calibri" w:hAnsi="Calibri"/>
          <w:sz w:val="20"/>
          <w:szCs w:val="20"/>
        </w:rPr>
        <w:t xml:space="preserve">Tout incident niveau 2+ partagé en réunion équipe.</w:t>
      </w:r>
    </w:p>
    <w:p>
      <w:pPr>
        <w:pStyle w:val="ListParagraph"/>
        <w:numPr>
          <w:ilvl w:val="0"/>
          <w:numId w:val="2"/>
        </w:numPr>
        <w:spacing w:after="60" w:line="260"/>
      </w:pPr>
      <w:r>
        <w:rPr>
          <w:rFonts w:ascii="Calibri" w:cs="Calibri" w:eastAsia="Calibri" w:hAnsi="Calibri"/>
          <w:sz w:val="20"/>
          <w:szCs w:val="20"/>
        </w:rPr>
        <w:t xml:space="preserve">Cohérence avec Plan de communication interne.</w:t>
      </w:r>
    </w:p>
    <w:p>
      <w:pPr>
        <w:pStyle w:val="ListParagraph"/>
        <w:numPr>
          <w:ilvl w:val="0"/>
          <w:numId w:val="2"/>
        </w:numPr>
        <w:spacing w:after="60" w:line="260"/>
      </w:pPr>
      <w:r>
        <w:rPr>
          <w:rFonts w:ascii="Calibri" w:cs="Calibri" w:eastAsia="Calibri" w:hAnsi="Calibri"/>
          <w:sz w:val="20"/>
          <w:szCs w:val="20"/>
        </w:rPr>
        <w:t xml:space="preserve">Confidentialité de l'identité du voyageur (sauf si accord).</w:t>
      </w:r>
    </w:p>
    <w:p>
      <w:pPr>
        <w:spacing w:after="100" w:before="220"/>
      </w:pPr>
      <w:r>
        <w:rPr>
          <w:rFonts w:ascii="Calibri" w:cs="Calibri" w:eastAsia="Calibri" w:hAnsi="Calibri"/>
          <w:b/>
          <w:bCs/>
          <w:color w:val="E87722"/>
          <w:sz w:val="22"/>
          <w:szCs w:val="22"/>
        </w:rPr>
        <w:t xml:space="preserve">5.2. Apprentissage</w:t>
      </w:r>
    </w:p>
    <w:p>
      <w:pPr>
        <w:pStyle w:val="ListParagraph"/>
        <w:numPr>
          <w:ilvl w:val="0"/>
          <w:numId w:val="2"/>
        </w:numPr>
        <w:spacing w:after="60" w:line="260"/>
      </w:pPr>
      <w:r>
        <w:rPr>
          <w:rFonts w:ascii="Calibri" w:cs="Calibri" w:eastAsia="Calibri" w:hAnsi="Calibri"/>
          <w:sz w:val="20"/>
          <w:szCs w:val="20"/>
        </w:rPr>
        <w:t xml:space="preserve">Post-mortem systématique (cohérence Procédure d'amélioration continue).</w:t>
      </w:r>
    </w:p>
    <w:p>
      <w:pPr>
        <w:pStyle w:val="ListParagraph"/>
        <w:numPr>
          <w:ilvl w:val="0"/>
          <w:numId w:val="2"/>
        </w:numPr>
        <w:spacing w:after="60" w:line="260"/>
      </w:pPr>
      <w:r>
        <w:rPr>
          <w:rFonts w:ascii="Calibri" w:cs="Calibri" w:eastAsia="Calibri" w:hAnsi="Calibri"/>
          <w:sz w:val="20"/>
          <w:szCs w:val="20"/>
        </w:rPr>
        <w:t xml:space="preserve">Mise à jour des procédures concernées.</w:t>
      </w:r>
    </w:p>
    <w:p>
      <w:pPr>
        <w:pStyle w:val="ListParagraph"/>
        <w:numPr>
          <w:ilvl w:val="0"/>
          <w:numId w:val="2"/>
        </w:numPr>
        <w:spacing w:after="60" w:line="260"/>
      </w:pPr>
      <w:r>
        <w:rPr>
          <w:rFonts w:ascii="Calibri" w:cs="Calibri" w:eastAsia="Calibri" w:hAnsi="Calibri"/>
          <w:sz w:val="20"/>
          <w:szCs w:val="20"/>
        </w:rPr>
        <w:t xml:space="preserve">Communication de l'apprentissage aux partenaires HRA / accompagnateurs si pertinent.</w:t>
      </w:r>
    </w:p>
    <w:p>
      <w:pPr>
        <w:spacing w:after="100" w:before="220"/>
      </w:pPr>
      <w:r>
        <w:rPr>
          <w:rFonts w:ascii="Calibri" w:cs="Calibri" w:eastAsia="Calibri" w:hAnsi="Calibri"/>
          <w:b/>
          <w:bCs/>
          <w:color w:val="E87722"/>
          <w:sz w:val="22"/>
          <w:szCs w:val="22"/>
        </w:rPr>
        <w:t xml:space="preserve">5.3. Confidentialité</w:t>
      </w:r>
    </w:p>
    <w:p>
      <w:pPr>
        <w:pStyle w:val="ListParagraph"/>
        <w:numPr>
          <w:ilvl w:val="0"/>
          <w:numId w:val="2"/>
        </w:numPr>
        <w:spacing w:after="60" w:line="260"/>
      </w:pPr>
      <w:r>
        <w:rPr>
          <w:rFonts w:ascii="Calibri" w:cs="Calibri" w:eastAsia="Calibri" w:hAnsi="Calibri"/>
          <w:sz w:val="20"/>
          <w:szCs w:val="20"/>
        </w:rPr>
        <w:t xml:space="preserve">Identité du voyageur strictement confidentielle.</w:t>
      </w:r>
    </w:p>
    <w:p>
      <w:pPr>
        <w:pStyle w:val="ListParagraph"/>
        <w:numPr>
          <w:ilvl w:val="0"/>
          <w:numId w:val="2"/>
        </w:numPr>
        <w:spacing w:after="60" w:line="260"/>
      </w:pPr>
      <w:r>
        <w:rPr>
          <w:rFonts w:ascii="Calibri" w:cs="Calibri" w:eastAsia="Calibri" w:hAnsi="Calibri"/>
          <w:sz w:val="20"/>
          <w:szCs w:val="20"/>
        </w:rPr>
        <w:t xml:space="preserve">Cohérence avec Politique RGPD et Politique image.</w:t>
      </w:r>
    </w:p>
    <w:p>
      <w:pPr>
        <w:pStyle w:val="ListParagraph"/>
        <w:numPr>
          <w:ilvl w:val="0"/>
          <w:numId w:val="2"/>
        </w:numPr>
        <w:spacing w:after="60" w:line="260"/>
      </w:pPr>
      <w:r>
        <w:rPr>
          <w:rFonts w:ascii="Calibri" w:cs="Calibri" w:eastAsia="Calibri" w:hAnsi="Calibri"/>
          <w:sz w:val="20"/>
          <w:szCs w:val="20"/>
        </w:rPr>
        <w:t xml:space="preserve">Reporting anonymisé aux investisseurs et associés.</w:t>
      </w:r>
    </w:p>
    <w:p>
      <w:pPr>
        <w:spacing w:after="160" w:before="240"/>
      </w:pPr>
      <w:r>
        <w:rPr>
          <w:rFonts w:ascii="Calibri" w:cs="Calibri" w:eastAsia="Calibri" w:hAnsi="Calibri"/>
          <w:b/>
          <w:bCs/>
          <w:color w:val="1F4E79"/>
          <w:sz w:val="32"/>
          <w:szCs w:val="32"/>
        </w:rPr>
        <w:t xml:space="preserve">6. Communication externe</w:t>
      </w:r>
    </w:p>
    <w:p>
      <w:pPr>
        <w:spacing w:after="100" w:before="220"/>
      </w:pPr>
      <w:r>
        <w:rPr>
          <w:rFonts w:ascii="Calibri" w:cs="Calibri" w:eastAsia="Calibri" w:hAnsi="Calibri"/>
          <w:b/>
          <w:bCs/>
          <w:color w:val="E87722"/>
          <w:sz w:val="22"/>
          <w:szCs w:val="22"/>
        </w:rPr>
        <w:t xml:space="preserve">6.1. Refus structurés</w:t>
      </w:r>
    </w:p>
    <w:p>
      <w:pPr>
        <w:pStyle w:val="ListParagraph"/>
        <w:numPr>
          <w:ilvl w:val="0"/>
          <w:numId w:val="2"/>
        </w:numPr>
        <w:spacing w:after="60" w:line="260"/>
      </w:pPr>
      <w:r>
        <w:rPr>
          <w:rFonts w:ascii="Calibri" w:cs="Calibri" w:eastAsia="Calibri" w:hAnsi="Calibri"/>
          <w:sz w:val="20"/>
          <w:szCs w:val="20"/>
        </w:rPr>
        <w:t xml:space="preserve">Refus de l'instrumentalisation de l'incident à des fins marketing.</w:t>
      </w:r>
    </w:p>
    <w:p>
      <w:pPr>
        <w:pStyle w:val="ListParagraph"/>
        <w:numPr>
          <w:ilvl w:val="0"/>
          <w:numId w:val="2"/>
        </w:numPr>
        <w:spacing w:after="60" w:line="260"/>
      </w:pPr>
      <w:r>
        <w:rPr>
          <w:rFonts w:ascii="Calibri" w:cs="Calibri" w:eastAsia="Calibri" w:hAnsi="Calibri"/>
          <w:sz w:val="20"/>
          <w:szCs w:val="20"/>
        </w:rPr>
        <w:t xml:space="preserve">Refus de la communication publique sans accord du voyageur.</w:t>
      </w:r>
    </w:p>
    <w:p>
      <w:pPr>
        <w:pStyle w:val="ListParagraph"/>
        <w:numPr>
          <w:ilvl w:val="0"/>
          <w:numId w:val="2"/>
        </w:numPr>
        <w:spacing w:after="60" w:line="260"/>
      </w:pPr>
      <w:r>
        <w:rPr>
          <w:rFonts w:ascii="Calibri" w:cs="Calibri" w:eastAsia="Calibri" w:hAnsi="Calibri"/>
          <w:sz w:val="20"/>
          <w:szCs w:val="20"/>
        </w:rPr>
        <w:t xml:space="preserve">Refus de la pression à supprimer un avis défavorable.</w:t>
      </w:r>
    </w:p>
    <w:p>
      <w:pPr>
        <w:spacing w:after="100" w:before="220"/>
      </w:pPr>
      <w:r>
        <w:rPr>
          <w:rFonts w:ascii="Calibri" w:cs="Calibri" w:eastAsia="Calibri" w:hAnsi="Calibri"/>
          <w:b/>
          <w:bCs/>
          <w:color w:val="E87722"/>
          <w:sz w:val="22"/>
          <w:szCs w:val="22"/>
        </w:rPr>
        <w:t xml:space="preserve">6.2. Cas où la communication publique est possible</w:t>
      </w:r>
    </w:p>
    <w:p>
      <w:pPr>
        <w:pStyle w:val="ListParagraph"/>
        <w:numPr>
          <w:ilvl w:val="0"/>
          <w:numId w:val="2"/>
        </w:numPr>
        <w:spacing w:after="60" w:line="260"/>
      </w:pPr>
      <w:r>
        <w:rPr>
          <w:rFonts w:ascii="Calibri" w:cs="Calibri" w:eastAsia="Calibri" w:hAnsi="Calibri"/>
          <w:sz w:val="20"/>
          <w:szCs w:val="20"/>
        </w:rPr>
        <w:t xml:space="preserve">Avec accord exprès du voyageur (rare).</w:t>
      </w:r>
    </w:p>
    <w:p>
      <w:pPr>
        <w:pStyle w:val="ListParagraph"/>
        <w:numPr>
          <w:ilvl w:val="0"/>
          <w:numId w:val="2"/>
        </w:numPr>
        <w:spacing w:after="60" w:line="260"/>
      </w:pPr>
      <w:r>
        <w:rPr>
          <w:rFonts w:ascii="Calibri" w:cs="Calibri" w:eastAsia="Calibri" w:hAnsi="Calibri"/>
          <w:sz w:val="20"/>
          <w:szCs w:val="20"/>
        </w:rPr>
        <w:t xml:space="preserve">En cas de crise médiatique (cohérence Procédure de gestion de crise communication).</w:t>
      </w:r>
    </w:p>
    <w:p>
      <w:pPr>
        <w:pStyle w:val="ListParagraph"/>
        <w:numPr>
          <w:ilvl w:val="0"/>
          <w:numId w:val="2"/>
        </w:numPr>
        <w:spacing w:after="60" w:line="260"/>
      </w:pPr>
      <w:r>
        <w:rPr>
          <w:rFonts w:ascii="Calibri" w:cs="Calibri" w:eastAsia="Calibri" w:hAnsi="Calibri"/>
          <w:sz w:val="20"/>
          <w:szCs w:val="20"/>
        </w:rPr>
        <w:t xml:space="preserve">Statistiques anonymisées dans le rapport RSE annuel.</w:t>
      </w:r>
    </w:p>
    <w:p>
      <w:pPr>
        <w:spacing w:after="160" w:before="240"/>
      </w:pPr>
      <w:r>
        <w:rPr>
          <w:rFonts w:ascii="Calibri" w:cs="Calibri" w:eastAsia="Calibri" w:hAnsi="Calibri"/>
          <w:b/>
          <w:bCs/>
          <w:color w:val="1F4E79"/>
          <w:sz w:val="32"/>
          <w:szCs w:val="32"/>
        </w:rPr>
        <w:t xml:space="preserve">7. Suivi statistique</w:t>
      </w:r>
    </w:p>
    <w:p>
      <w:pPr>
        <w:pStyle w:val="ListParagraph"/>
        <w:numPr>
          <w:ilvl w:val="0"/>
          <w:numId w:val="2"/>
        </w:numPr>
        <w:spacing w:after="60" w:line="260"/>
      </w:pPr>
      <w:r>
        <w:rPr>
          <w:rFonts w:ascii="Calibri" w:cs="Calibri" w:eastAsia="Calibri" w:hAnsi="Calibri"/>
          <w:sz w:val="20"/>
          <w:szCs w:val="20"/>
        </w:rPr>
        <w:t xml:space="preserve">Tableau interne des incidents niveau 2+ et leur traitement.</w:t>
      </w:r>
    </w:p>
    <w:p>
      <w:pPr>
        <w:pStyle w:val="ListParagraph"/>
        <w:numPr>
          <w:ilvl w:val="0"/>
          <w:numId w:val="2"/>
        </w:numPr>
        <w:spacing w:after="60" w:line="260"/>
      </w:pPr>
      <w:r>
        <w:rPr>
          <w:rFonts w:ascii="Calibri" w:cs="Calibri" w:eastAsia="Calibri" w:hAnsi="Calibri"/>
          <w:sz w:val="20"/>
          <w:szCs w:val="20"/>
        </w:rPr>
        <w:t xml:space="preserve">Indicateurs de récurrence (cause racine).</w:t>
      </w:r>
    </w:p>
    <w:p>
      <w:pPr>
        <w:pStyle w:val="ListParagraph"/>
        <w:numPr>
          <w:ilvl w:val="0"/>
          <w:numId w:val="2"/>
        </w:numPr>
        <w:spacing w:after="60" w:line="260"/>
      </w:pPr>
      <w:r>
        <w:rPr>
          <w:rFonts w:ascii="Calibri" w:cs="Calibri" w:eastAsia="Calibri" w:hAnsi="Calibri"/>
          <w:sz w:val="20"/>
          <w:szCs w:val="20"/>
        </w:rPr>
        <w:t xml:space="preserve">Indicateurs de résolution (délai, geste, satisfaction).</w:t>
      </w:r>
    </w:p>
    <w:p>
      <w:pPr>
        <w:pStyle w:val="ListParagraph"/>
        <w:numPr>
          <w:ilvl w:val="0"/>
          <w:numId w:val="2"/>
        </w:numPr>
        <w:spacing w:after="60" w:line="260"/>
      </w:pPr>
      <w:r>
        <w:rPr>
          <w:rFonts w:ascii="Calibri" w:cs="Calibri" w:eastAsia="Calibri" w:hAnsi="Calibri"/>
          <w:sz w:val="20"/>
          <w:szCs w:val="20"/>
        </w:rPr>
        <w:t xml:space="preserve">Reporting mensuel équipe (cohérence Tableau de bord opérationnel).</w:t>
      </w:r>
    </w:p>
    <w:p>
      <w:pPr>
        <w:spacing w:after="160" w:before="240"/>
      </w:pPr>
      <w:r>
        <w:rPr>
          <w:rFonts w:ascii="Calibri" w:cs="Calibri" w:eastAsia="Calibri" w:hAnsi="Calibri"/>
          <w:b/>
          <w:bCs/>
          <w:color w:val="1F4E79"/>
          <w:sz w:val="32"/>
          <w:szCs w:val="32"/>
        </w:rPr>
        <w:t xml:space="preserve">8. Indicateurs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Indicateur</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1</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3</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Délai appel post-incident niveau 2+</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7 j</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3 j</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Suivi long terme (phases 5-6) réalisé</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Voyageurs incidentés re-voyageant</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40 %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60 %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NPS post-incident</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0</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+ 30</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Plaintes de gestion d'incident</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5 %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Apprentissages documentés / incidents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r>
    </w:tbl>
    <w:p>
      <w:pPr>
        <w:spacing w:after="160" w:before="240"/>
      </w:pPr>
      <w:r>
        <w:rPr>
          <w:rFonts w:ascii="Calibri" w:cs="Calibri" w:eastAsia="Calibri" w:hAnsi="Calibri"/>
          <w:b/>
          <w:bCs/>
          <w:color w:val="1F4E79"/>
          <w:sz w:val="32"/>
          <w:szCs w:val="32"/>
        </w:rPr>
        <w:t xml:space="preserve">9. Engagements éthiques opposables</w:t>
      </w:r>
    </w:p>
    <w:p>
      <w:pPr>
        <w:pStyle w:val="ListParagraph"/>
        <w:numPr>
          <w:ilvl w:val="0"/>
          <w:numId w:val="2"/>
        </w:numPr>
        <w:spacing w:after="60" w:line="260"/>
      </w:pPr>
      <w:r>
        <w:rPr>
          <w:rFonts w:ascii="Calibri" w:cs="Calibri" w:eastAsia="Calibri" w:hAnsi="Calibri"/>
          <w:sz w:val="20"/>
          <w:szCs w:val="20"/>
        </w:rPr>
        <w:t xml:space="preserve">Reconnaissance systématique de l'incident vécu.</w:t>
      </w:r>
    </w:p>
    <w:p>
      <w:pPr>
        <w:pStyle w:val="ListParagraph"/>
        <w:numPr>
          <w:ilvl w:val="0"/>
          <w:numId w:val="2"/>
        </w:numPr>
        <w:spacing w:after="60" w:line="260"/>
      </w:pPr>
      <w:r>
        <w:rPr>
          <w:rFonts w:ascii="Calibri" w:cs="Calibri" w:eastAsia="Calibri" w:hAnsi="Calibri"/>
          <w:sz w:val="20"/>
          <w:szCs w:val="20"/>
        </w:rPr>
        <w:t xml:space="preserve">Suivi humain dans la durée (pas d'oubli post-règlement).</w:t>
      </w:r>
    </w:p>
    <w:p>
      <w:pPr>
        <w:pStyle w:val="ListParagraph"/>
        <w:numPr>
          <w:ilvl w:val="0"/>
          <w:numId w:val="2"/>
        </w:numPr>
        <w:spacing w:after="60" w:line="260"/>
      </w:pPr>
      <w:r>
        <w:rPr>
          <w:rFonts w:ascii="Calibri" w:cs="Calibri" w:eastAsia="Calibri" w:hAnsi="Calibri"/>
          <w:sz w:val="20"/>
          <w:szCs w:val="20"/>
        </w:rPr>
        <w:t xml:space="preserve">Refus de la minimisation et du déni.</w:t>
      </w:r>
    </w:p>
    <w:p>
      <w:pPr>
        <w:pStyle w:val="ListParagraph"/>
        <w:numPr>
          <w:ilvl w:val="0"/>
          <w:numId w:val="2"/>
        </w:numPr>
        <w:spacing w:after="60" w:line="260"/>
      </w:pPr>
      <w:r>
        <w:rPr>
          <w:rFonts w:ascii="Calibri" w:cs="Calibri" w:eastAsia="Calibri" w:hAnsi="Calibri"/>
          <w:sz w:val="20"/>
          <w:szCs w:val="20"/>
        </w:rPr>
        <w:t xml:space="preserve">Geste juste et empathique.</w:t>
      </w:r>
    </w:p>
    <w:p>
      <w:pPr>
        <w:pStyle w:val="ListParagraph"/>
        <w:numPr>
          <w:ilvl w:val="0"/>
          <w:numId w:val="2"/>
        </w:numPr>
        <w:spacing w:after="60" w:line="260"/>
      </w:pPr>
      <w:r>
        <w:rPr>
          <w:rFonts w:ascii="Calibri" w:cs="Calibri" w:eastAsia="Calibri" w:hAnsi="Calibri"/>
          <w:sz w:val="20"/>
          <w:szCs w:val="20"/>
        </w:rPr>
        <w:t xml:space="preserve">Confidentialité absolue.</w:t>
      </w:r>
    </w:p>
    <w:p>
      <w:pPr>
        <w:pStyle w:val="ListParagraph"/>
        <w:numPr>
          <w:ilvl w:val="0"/>
          <w:numId w:val="2"/>
        </w:numPr>
        <w:spacing w:after="60" w:line="260"/>
      </w:pPr>
      <w:r>
        <w:rPr>
          <w:rFonts w:ascii="Calibri" w:cs="Calibri" w:eastAsia="Calibri" w:hAnsi="Calibri"/>
          <w:sz w:val="20"/>
          <w:szCs w:val="20"/>
        </w:rPr>
        <w:t xml:space="preserve">Refus du règlement conditionnel.</w:t>
      </w:r>
    </w:p>
    <w:p>
      <w:pPr>
        <w:pStyle w:val="ListParagraph"/>
        <w:numPr>
          <w:ilvl w:val="0"/>
          <w:numId w:val="2"/>
        </w:numPr>
        <w:spacing w:after="60" w:line="260"/>
      </w:pPr>
      <w:r>
        <w:rPr>
          <w:rFonts w:ascii="Calibri" w:cs="Calibri" w:eastAsia="Calibri" w:hAnsi="Calibri"/>
          <w:sz w:val="20"/>
          <w:szCs w:val="20"/>
        </w:rPr>
        <w:t xml:space="preserve">Apprentissage systématique de chaque incident.</w:t>
      </w:r>
    </w:p>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interne — Version 1.0 — 2 mai 2026. Mise à jour annuelle.</w:t>
      </w:r>
    </w:p>
    <w:p>
      <w:pPr>
        <w:spacing w:after="100" w:line="280"/>
        <w:jc w:val="both"/>
      </w:pPr>
      <w:r>
        <w:rPr>
          <w:rFonts w:ascii="Calibri" w:cs="Calibri" w:eastAsia="Calibri" w:hAnsi="Calibri"/>
          <w:i/>
          <w:iCs/>
          <w:color w:val="555555"/>
          <w:sz w:val="18"/>
          <w:szCs w:val="18"/>
        </w:rPr>
        <w:t xml:space="preserve">Cohérence avec : Manuel d'incident voyage, Procédure de réclamation détaillée, Politique de gestion des avoirs et remboursements, Politique cybersécurité (incidents cyber), Procédure de gestion de crise communication, Procédure d'amélioration continue, Politique RGPD, Politique image et droit à l'image, Tableau de bord opérationnel.</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Communication post-incident voyageur</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Politique de communication post-incident voyageur</dc:title>
  <dc:creator>David Eventy — Eventy Life SAS</dc:creator>
  <dc:description>Suivi humain du voyageur après un incident de voyage.</dc:description>
  <cp:lastModifiedBy>Un-named</cp:lastModifiedBy>
  <cp:revision>1</cp:revision>
  <dcterms:created xsi:type="dcterms:W3CDTF">2026-05-02T04:53:01.200Z</dcterms:created>
  <dcterms:modified xsi:type="dcterms:W3CDTF">2026-05-02T04:53:01.200Z</dcterms:modified>
</cp:coreProperties>
</file>

<file path=docProps/custom.xml><?xml version="1.0" encoding="utf-8"?>
<Properties xmlns="http://schemas.openxmlformats.org/officeDocument/2006/custom-properties" xmlns:vt="http://schemas.openxmlformats.org/officeDocument/2006/docPropsVTypes"/>
</file>