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CYBERSÉCURITÉ EVENTY LIFE</w:t>
            </w:r>
          </w:p>
          <w:p>
            <w:pPr>
              <w:spacing w:after="0"/>
              <w:jc w:val="center"/>
            </w:pPr>
            <w:r>
              <w:rPr>
                <w:rFonts w:ascii="Calibri" w:cs="Calibri" w:eastAsia="Calibri" w:hAnsi="Calibri"/>
                <w:i/>
                <w:iCs/>
                <w:color w:val="1F4E79"/>
                <w:sz w:val="18"/>
                <w:szCs w:val="18"/>
              </w:rPr>
              <w:t xml:space="preserve">Sécurité des systèmes d'information — protection des données voyageurs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de cybersécurité formalise les engagements et les mesures techniques d'EVENTY LIFE SAS en matière de protection des systèmes d'information et des données traitées (voyageurs, partenaires, équipe). Elle complète et opérationnalise la Politique de confidentialité RGPD et le DPA de sous-traitance.</w:t>
      </w:r>
    </w:p>
    <w:p>
      <w:pPr>
        <w:spacing w:after="100" w:line="280"/>
        <w:jc w:val="both"/>
      </w:pPr>
      <w:r>
        <w:rPr>
          <w:rFonts w:ascii="Calibri" w:cs="Calibri" w:eastAsia="Calibri" w:hAnsi="Calibri"/>
          <w:i/>
          <w:iCs/>
          <w:color w:val="1A1A1A"/>
          <w:sz w:val="20"/>
          <w:szCs w:val="20"/>
        </w:rPr>
        <w:t xml:space="preserve">Eventy traite des données sensibles (identité civile, paiements, données médicales si signalées par le voyageur) qui exigent un haut niveau de sécurité. Cette politique vise à : protéger la confidentialité, l'intégrité et la disponibilité des données ; respecter le RGPD article 32 ; garantir la continuité des opérations ; rassurer voyageurs, partenaires et investisseurs.</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RGPD article 32 — sécurité du traitement.</w:t>
      </w:r>
    </w:p>
    <w:p>
      <w:pPr>
        <w:pStyle w:val="ListParagraph"/>
        <w:numPr>
          <w:ilvl w:val="0"/>
          <w:numId w:val="2"/>
        </w:numPr>
        <w:spacing w:after="60" w:line="260"/>
      </w:pPr>
      <w:r>
        <w:rPr>
          <w:rFonts w:ascii="Calibri" w:cs="Calibri" w:eastAsia="Calibri" w:hAnsi="Calibri"/>
          <w:sz w:val="20"/>
          <w:szCs w:val="20"/>
        </w:rPr>
        <w:t xml:space="preserve">Recommandations ANSSI — Guide d'hygiène informatique.</w:t>
      </w:r>
    </w:p>
    <w:p>
      <w:pPr>
        <w:pStyle w:val="ListParagraph"/>
        <w:numPr>
          <w:ilvl w:val="0"/>
          <w:numId w:val="2"/>
        </w:numPr>
        <w:spacing w:after="60" w:line="260"/>
      </w:pPr>
      <w:r>
        <w:rPr>
          <w:rFonts w:ascii="Calibri" w:cs="Calibri" w:eastAsia="Calibri" w:hAnsi="Calibri"/>
          <w:sz w:val="20"/>
          <w:szCs w:val="20"/>
        </w:rPr>
        <w:t xml:space="preserve">Norme ISO/IEC 27001 — système de management de la sécurité de l'information (cible An 3).</w:t>
      </w:r>
    </w:p>
    <w:p>
      <w:pPr>
        <w:pStyle w:val="ListParagraph"/>
        <w:numPr>
          <w:ilvl w:val="0"/>
          <w:numId w:val="2"/>
        </w:numPr>
        <w:spacing w:after="60" w:line="260"/>
      </w:pPr>
      <w:r>
        <w:rPr>
          <w:rFonts w:ascii="Calibri" w:cs="Calibri" w:eastAsia="Calibri" w:hAnsi="Calibri"/>
          <w:sz w:val="20"/>
          <w:szCs w:val="20"/>
        </w:rPr>
        <w:t xml:space="preserve">Norme PCI-DSS — sous-traitance Stripe (Stripe certifié, Eventy ne stocke pas de PAN).</w:t>
      </w:r>
    </w:p>
    <w:p>
      <w:pPr>
        <w:pStyle w:val="ListParagraph"/>
        <w:numPr>
          <w:ilvl w:val="0"/>
          <w:numId w:val="2"/>
        </w:numPr>
        <w:spacing w:after="60" w:line="260"/>
      </w:pPr>
      <w:r>
        <w:rPr>
          <w:rFonts w:ascii="Calibri" w:cs="Calibri" w:eastAsia="Calibri" w:hAnsi="Calibri"/>
          <w:sz w:val="20"/>
          <w:szCs w:val="20"/>
        </w:rPr>
        <w:t xml:space="preserve">Référentiel sécurité Cloud SecNumCloud (cible long terme pour hébergement).</w:t>
      </w:r>
    </w:p>
    <w:p>
      <w:pPr>
        <w:spacing w:after="160" w:before="240"/>
      </w:pPr>
      <w:r>
        <w:rPr>
          <w:rFonts w:ascii="Calibri" w:cs="Calibri" w:eastAsia="Calibri" w:hAnsi="Calibri"/>
          <w:b/>
          <w:bCs/>
          <w:color w:val="1F4E79"/>
          <w:sz w:val="32"/>
          <w:szCs w:val="32"/>
        </w:rPr>
        <w:t xml:space="preserve">2. Périmètre</w:t>
      </w:r>
    </w:p>
    <w:p>
      <w:pPr>
        <w:pStyle w:val="ListParagraph"/>
        <w:numPr>
          <w:ilvl w:val="0"/>
          <w:numId w:val="2"/>
        </w:numPr>
        <w:spacing w:after="60" w:line="260"/>
      </w:pPr>
      <w:r>
        <w:rPr>
          <w:rFonts w:ascii="Calibri" w:cs="Calibri" w:eastAsia="Calibri" w:hAnsi="Calibri"/>
          <w:sz w:val="20"/>
          <w:szCs w:val="20"/>
        </w:rPr>
        <w:t xml:space="preserve">Plateforme web propriétaire eventylife.fr (Next.js + NestJS).</w:t>
      </w:r>
    </w:p>
    <w:p>
      <w:pPr>
        <w:pStyle w:val="ListParagraph"/>
        <w:numPr>
          <w:ilvl w:val="0"/>
          <w:numId w:val="2"/>
        </w:numPr>
        <w:spacing w:after="60" w:line="260"/>
      </w:pPr>
      <w:r>
        <w:rPr>
          <w:rFonts w:ascii="Calibri" w:cs="Calibri" w:eastAsia="Calibri" w:hAnsi="Calibri"/>
          <w:sz w:val="20"/>
          <w:szCs w:val="20"/>
        </w:rPr>
        <w:t xml:space="preserve">Base de données voyageurs et partenaires (PostgreSQL hébergé France).</w:t>
      </w:r>
    </w:p>
    <w:p>
      <w:pPr>
        <w:pStyle w:val="ListParagraph"/>
        <w:numPr>
          <w:ilvl w:val="0"/>
          <w:numId w:val="2"/>
        </w:numPr>
        <w:spacing w:after="60" w:line="260"/>
      </w:pPr>
      <w:r>
        <w:rPr>
          <w:rFonts w:ascii="Calibri" w:cs="Calibri" w:eastAsia="Calibri" w:hAnsi="Calibri"/>
          <w:sz w:val="20"/>
          <w:szCs w:val="20"/>
        </w:rPr>
        <w:t xml:space="preserve">Espaces de stockage cloud (Scaleway Object Storage France).</w:t>
      </w:r>
    </w:p>
    <w:p>
      <w:pPr>
        <w:pStyle w:val="ListParagraph"/>
        <w:numPr>
          <w:ilvl w:val="0"/>
          <w:numId w:val="2"/>
        </w:numPr>
        <w:spacing w:after="60" w:line="260"/>
      </w:pPr>
      <w:r>
        <w:rPr>
          <w:rFonts w:ascii="Calibri" w:cs="Calibri" w:eastAsia="Calibri" w:hAnsi="Calibri"/>
          <w:sz w:val="20"/>
          <w:szCs w:val="20"/>
        </w:rPr>
        <w:t xml:space="preserve">Outils internes (emails, gestion documentaire, comptabilité).</w:t>
      </w:r>
    </w:p>
    <w:p>
      <w:pPr>
        <w:pStyle w:val="ListParagraph"/>
        <w:numPr>
          <w:ilvl w:val="0"/>
          <w:numId w:val="2"/>
        </w:numPr>
        <w:spacing w:after="60" w:line="260"/>
      </w:pPr>
      <w:r>
        <w:rPr>
          <w:rFonts w:ascii="Calibri" w:cs="Calibri" w:eastAsia="Calibri" w:hAnsi="Calibri"/>
          <w:sz w:val="20"/>
          <w:szCs w:val="20"/>
        </w:rPr>
        <w:t xml:space="preserve">Postes de travail des collaborateurs.</w:t>
      </w:r>
    </w:p>
    <w:p>
      <w:pPr>
        <w:pStyle w:val="ListParagraph"/>
        <w:numPr>
          <w:ilvl w:val="0"/>
          <w:numId w:val="2"/>
        </w:numPr>
        <w:spacing w:after="60" w:line="260"/>
      </w:pPr>
      <w:r>
        <w:rPr>
          <w:rFonts w:ascii="Calibri" w:cs="Calibri" w:eastAsia="Calibri" w:hAnsi="Calibri"/>
          <w:sz w:val="20"/>
          <w:szCs w:val="20"/>
        </w:rPr>
        <w:t xml:space="preserve">Sous-traitants techniques (Stripe, Google Workspace, etc.) — couverts par DPA.</w:t>
      </w:r>
    </w:p>
    <w:p>
      <w:pPr>
        <w:spacing w:after="160" w:before="240"/>
      </w:pPr>
      <w:r>
        <w:rPr>
          <w:rFonts w:ascii="Calibri" w:cs="Calibri" w:eastAsia="Calibri" w:hAnsi="Calibri"/>
          <w:b/>
          <w:bCs/>
          <w:color w:val="1F4E79"/>
          <w:sz w:val="32"/>
          <w:szCs w:val="32"/>
        </w:rPr>
        <w:t xml:space="preserve">3. Architecture de sécurité</w:t>
      </w:r>
    </w:p>
    <w:p>
      <w:pPr>
        <w:spacing w:after="100" w:before="220"/>
      </w:pPr>
      <w:r>
        <w:rPr>
          <w:rFonts w:ascii="Calibri" w:cs="Calibri" w:eastAsia="Calibri" w:hAnsi="Calibri"/>
          <w:b/>
          <w:bCs/>
          <w:color w:val="E87722"/>
          <w:sz w:val="22"/>
          <w:szCs w:val="22"/>
        </w:rPr>
        <w:t xml:space="preserve">3.1. Hébergement et infrastructure</w:t>
      </w:r>
    </w:p>
    <w:p>
      <w:pPr>
        <w:pStyle w:val="ListParagraph"/>
        <w:numPr>
          <w:ilvl w:val="0"/>
          <w:numId w:val="2"/>
        </w:numPr>
        <w:spacing w:after="60" w:line="260"/>
      </w:pPr>
      <w:r>
        <w:rPr>
          <w:rFonts w:ascii="Calibri" w:cs="Calibri" w:eastAsia="Calibri" w:hAnsi="Calibri"/>
          <w:sz w:val="20"/>
          <w:szCs w:val="20"/>
        </w:rPr>
        <w:t xml:space="preserve">Hébergement principal en France (Scaleway, datacenters Paris) — souveraineté numérique européenne.</w:t>
      </w:r>
    </w:p>
    <w:p>
      <w:pPr>
        <w:pStyle w:val="ListParagraph"/>
        <w:numPr>
          <w:ilvl w:val="0"/>
          <w:numId w:val="2"/>
        </w:numPr>
        <w:spacing w:after="60" w:line="260"/>
      </w:pPr>
      <w:r>
        <w:rPr>
          <w:rFonts w:ascii="Calibri" w:cs="Calibri" w:eastAsia="Calibri" w:hAnsi="Calibri"/>
          <w:sz w:val="20"/>
          <w:szCs w:val="20"/>
        </w:rPr>
        <w:t xml:space="preserve">CDN edge avec terminaison TLS 1.3 minimum.</w:t>
      </w:r>
    </w:p>
    <w:p>
      <w:pPr>
        <w:pStyle w:val="ListParagraph"/>
        <w:numPr>
          <w:ilvl w:val="0"/>
          <w:numId w:val="2"/>
        </w:numPr>
        <w:spacing w:after="60" w:line="260"/>
      </w:pPr>
      <w:r>
        <w:rPr>
          <w:rFonts w:ascii="Calibri" w:cs="Calibri" w:eastAsia="Calibri" w:hAnsi="Calibri"/>
          <w:sz w:val="20"/>
          <w:szCs w:val="20"/>
        </w:rPr>
        <w:t xml:space="preserve">Cloisonnement strict des environnements : développement, staging, production, sauvegardes.</w:t>
      </w:r>
    </w:p>
    <w:p>
      <w:pPr>
        <w:pStyle w:val="ListParagraph"/>
        <w:numPr>
          <w:ilvl w:val="0"/>
          <w:numId w:val="2"/>
        </w:numPr>
        <w:spacing w:after="60" w:line="260"/>
      </w:pPr>
      <w:r>
        <w:rPr>
          <w:rFonts w:ascii="Calibri" w:cs="Calibri" w:eastAsia="Calibri" w:hAnsi="Calibri"/>
          <w:sz w:val="20"/>
          <w:szCs w:val="20"/>
        </w:rPr>
        <w:t xml:space="preserve">Bases de données chiffrées au repos (AES-256), répliquées sur 2 zones distinctes.</w:t>
      </w:r>
    </w:p>
    <w:p>
      <w:pPr>
        <w:pStyle w:val="ListParagraph"/>
        <w:numPr>
          <w:ilvl w:val="0"/>
          <w:numId w:val="2"/>
        </w:numPr>
        <w:spacing w:after="60" w:line="260"/>
      </w:pPr>
      <w:r>
        <w:rPr>
          <w:rFonts w:ascii="Calibri" w:cs="Calibri" w:eastAsia="Calibri" w:hAnsi="Calibri"/>
          <w:sz w:val="20"/>
          <w:szCs w:val="20"/>
        </w:rPr>
        <w:t xml:space="preserve">WAF (Web Application Firewall) en amont de la production avec règles OWASP Top 10.</w:t>
      </w:r>
    </w:p>
    <w:p>
      <w:pPr>
        <w:pStyle w:val="ListParagraph"/>
        <w:numPr>
          <w:ilvl w:val="0"/>
          <w:numId w:val="2"/>
        </w:numPr>
        <w:spacing w:after="60" w:line="260"/>
      </w:pPr>
      <w:r>
        <w:rPr>
          <w:rFonts w:ascii="Calibri" w:cs="Calibri" w:eastAsia="Calibri" w:hAnsi="Calibri"/>
          <w:sz w:val="20"/>
          <w:szCs w:val="20"/>
        </w:rPr>
        <w:t xml:space="preserve">DDoS protection mutualisée au niveau infrastructure.</w:t>
      </w:r>
    </w:p>
    <w:p>
      <w:pPr>
        <w:spacing w:after="100" w:before="220"/>
      </w:pPr>
      <w:r>
        <w:rPr>
          <w:rFonts w:ascii="Calibri" w:cs="Calibri" w:eastAsia="Calibri" w:hAnsi="Calibri"/>
          <w:b/>
          <w:bCs/>
          <w:color w:val="E87722"/>
          <w:sz w:val="22"/>
          <w:szCs w:val="22"/>
        </w:rPr>
        <w:t xml:space="preserve">3.2. Authentification et accès</w:t>
      </w:r>
    </w:p>
    <w:p>
      <w:pPr>
        <w:pStyle w:val="ListParagraph"/>
        <w:numPr>
          <w:ilvl w:val="0"/>
          <w:numId w:val="2"/>
        </w:numPr>
        <w:spacing w:after="60" w:line="260"/>
      </w:pPr>
      <w:r>
        <w:rPr>
          <w:rFonts w:ascii="Calibri" w:cs="Calibri" w:eastAsia="Calibri" w:hAnsi="Calibri"/>
          <w:sz w:val="20"/>
          <w:szCs w:val="20"/>
        </w:rPr>
        <w:t xml:space="preserve">Voyageurs : authentification email + mot de passe ≥ 12 caractères, hashing Argon2id, option passkey/Webauthn (déploiement An 1-2).</w:t>
      </w:r>
    </w:p>
    <w:p>
      <w:pPr>
        <w:pStyle w:val="ListParagraph"/>
        <w:numPr>
          <w:ilvl w:val="0"/>
          <w:numId w:val="2"/>
        </w:numPr>
        <w:spacing w:after="60" w:line="260"/>
      </w:pPr>
      <w:r>
        <w:rPr>
          <w:rFonts w:ascii="Calibri" w:cs="Calibri" w:eastAsia="Calibri" w:hAnsi="Calibri"/>
          <w:sz w:val="20"/>
          <w:szCs w:val="20"/>
        </w:rPr>
        <w:t xml:space="preserve">Équipe interne : authentification multi-facteurs (MFA) obligatoire — TOTP ou hardware key.</w:t>
      </w:r>
    </w:p>
    <w:p>
      <w:pPr>
        <w:pStyle w:val="ListParagraph"/>
        <w:numPr>
          <w:ilvl w:val="0"/>
          <w:numId w:val="2"/>
        </w:numPr>
        <w:spacing w:after="60" w:line="260"/>
      </w:pPr>
      <w:r>
        <w:rPr>
          <w:rFonts w:ascii="Calibri" w:cs="Calibri" w:eastAsia="Calibri" w:hAnsi="Calibri"/>
          <w:sz w:val="20"/>
          <w:szCs w:val="20"/>
        </w:rPr>
        <w:t xml:space="preserve">Partenaires créateurs/vendeurs/HRA : MFA obligatoire à partir du portail pro.</w:t>
      </w:r>
    </w:p>
    <w:p>
      <w:pPr>
        <w:pStyle w:val="ListParagraph"/>
        <w:numPr>
          <w:ilvl w:val="0"/>
          <w:numId w:val="2"/>
        </w:numPr>
        <w:spacing w:after="60" w:line="260"/>
      </w:pPr>
      <w:r>
        <w:rPr>
          <w:rFonts w:ascii="Calibri" w:cs="Calibri" w:eastAsia="Calibri" w:hAnsi="Calibri"/>
          <w:sz w:val="20"/>
          <w:szCs w:val="20"/>
        </w:rPr>
        <w:t xml:space="preserve">Politique de mots de passe : complexité minimale, rotation 12 mois pour comptes admin, 0 contrainte arbitraire pour voyageurs (NIST SP 800-63B).</w:t>
      </w:r>
    </w:p>
    <w:p>
      <w:pPr>
        <w:pStyle w:val="ListParagraph"/>
        <w:numPr>
          <w:ilvl w:val="0"/>
          <w:numId w:val="2"/>
        </w:numPr>
        <w:spacing w:after="60" w:line="260"/>
      </w:pPr>
      <w:r>
        <w:rPr>
          <w:rFonts w:ascii="Calibri" w:cs="Calibri" w:eastAsia="Calibri" w:hAnsi="Calibri"/>
          <w:sz w:val="20"/>
          <w:szCs w:val="20"/>
        </w:rPr>
        <w:t xml:space="preserve">Sessions limitées (24 h voyageur, 8 h admin), révocation côté serveur.</w:t>
      </w:r>
    </w:p>
    <w:p>
      <w:pPr>
        <w:pStyle w:val="ListParagraph"/>
        <w:numPr>
          <w:ilvl w:val="0"/>
          <w:numId w:val="2"/>
        </w:numPr>
        <w:spacing w:after="60" w:line="260"/>
      </w:pPr>
      <w:r>
        <w:rPr>
          <w:rFonts w:ascii="Calibri" w:cs="Calibri" w:eastAsia="Calibri" w:hAnsi="Calibri"/>
          <w:sz w:val="20"/>
          <w:szCs w:val="20"/>
        </w:rPr>
        <w:t xml:space="preserve">Verrouillage automatique après tentatives échouées (5 essais, blocage 15 min).</w:t>
      </w:r>
    </w:p>
    <w:p>
      <w:pPr>
        <w:spacing w:after="100" w:before="220"/>
      </w:pPr>
      <w:r>
        <w:rPr>
          <w:rFonts w:ascii="Calibri" w:cs="Calibri" w:eastAsia="Calibri" w:hAnsi="Calibri"/>
          <w:b/>
          <w:bCs/>
          <w:color w:val="E87722"/>
          <w:sz w:val="22"/>
          <w:szCs w:val="22"/>
        </w:rPr>
        <w:t xml:space="preserve">3.3. Habilitations (principe du moindre privilège)</w:t>
      </w:r>
    </w:p>
    <w:p>
      <w:pPr>
        <w:pStyle w:val="ListParagraph"/>
        <w:numPr>
          <w:ilvl w:val="0"/>
          <w:numId w:val="2"/>
        </w:numPr>
        <w:spacing w:after="60" w:line="260"/>
      </w:pPr>
      <w:r>
        <w:rPr>
          <w:rFonts w:ascii="Calibri" w:cs="Calibri" w:eastAsia="Calibri" w:hAnsi="Calibri"/>
          <w:sz w:val="20"/>
          <w:szCs w:val="20"/>
        </w:rPr>
        <w:t xml:space="preserve">Comptes nominatifs uniquement (pas de comptes partagés).</w:t>
      </w:r>
    </w:p>
    <w:p>
      <w:pPr>
        <w:pStyle w:val="ListParagraph"/>
        <w:numPr>
          <w:ilvl w:val="0"/>
          <w:numId w:val="2"/>
        </w:numPr>
        <w:spacing w:after="60" w:line="260"/>
      </w:pPr>
      <w:r>
        <w:rPr>
          <w:rFonts w:ascii="Calibri" w:cs="Calibri" w:eastAsia="Calibri" w:hAnsi="Calibri"/>
          <w:sz w:val="20"/>
          <w:szCs w:val="20"/>
        </w:rPr>
        <w:t xml:space="preserve">Rôles et permissions matricés (RBAC) — voir Annexe : matrice rôles RBAC.</w:t>
      </w:r>
    </w:p>
    <w:p>
      <w:pPr>
        <w:pStyle w:val="ListParagraph"/>
        <w:numPr>
          <w:ilvl w:val="0"/>
          <w:numId w:val="2"/>
        </w:numPr>
        <w:spacing w:after="60" w:line="260"/>
      </w:pPr>
      <w:r>
        <w:rPr>
          <w:rFonts w:ascii="Calibri" w:cs="Calibri" w:eastAsia="Calibri" w:hAnsi="Calibri"/>
          <w:sz w:val="20"/>
          <w:szCs w:val="20"/>
        </w:rPr>
        <w:t xml:space="preserve">Revue annuelle des habilitations (sortie collaborateur déclenche révocation immédiate).</w:t>
      </w:r>
    </w:p>
    <w:p>
      <w:pPr>
        <w:pStyle w:val="ListParagraph"/>
        <w:numPr>
          <w:ilvl w:val="0"/>
          <w:numId w:val="2"/>
        </w:numPr>
        <w:spacing w:after="60" w:line="260"/>
      </w:pPr>
      <w:r>
        <w:rPr>
          <w:rFonts w:ascii="Calibri" w:cs="Calibri" w:eastAsia="Calibri" w:hAnsi="Calibri"/>
          <w:sz w:val="20"/>
          <w:szCs w:val="20"/>
        </w:rPr>
        <w:t xml:space="preserve">Comptes admin techniques séparés des comptes utilisateur quotidiens.</w:t>
      </w:r>
    </w:p>
    <w:p>
      <w:pPr>
        <w:pStyle w:val="ListParagraph"/>
        <w:numPr>
          <w:ilvl w:val="0"/>
          <w:numId w:val="2"/>
        </w:numPr>
        <w:spacing w:after="60" w:line="260"/>
      </w:pPr>
      <w:r>
        <w:rPr>
          <w:rFonts w:ascii="Calibri" w:cs="Calibri" w:eastAsia="Calibri" w:hAnsi="Calibri"/>
          <w:sz w:val="20"/>
          <w:szCs w:val="20"/>
        </w:rPr>
        <w:t xml:space="preserve">Accès SSH bastion centralisé, audit logs.</w:t>
      </w:r>
    </w:p>
    <w:p>
      <w:pPr>
        <w:spacing w:after="160" w:before="240"/>
      </w:pPr>
      <w:r>
        <w:rPr>
          <w:rFonts w:ascii="Calibri" w:cs="Calibri" w:eastAsia="Calibri" w:hAnsi="Calibri"/>
          <w:b/>
          <w:bCs/>
          <w:color w:val="1F4E79"/>
          <w:sz w:val="32"/>
          <w:szCs w:val="32"/>
        </w:rPr>
        <w:t xml:space="preserve">4. Sécurité applicative</w:t>
      </w:r>
    </w:p>
    <w:p>
      <w:pPr>
        <w:spacing w:after="100" w:before="220"/>
      </w:pPr>
      <w:r>
        <w:rPr>
          <w:rFonts w:ascii="Calibri" w:cs="Calibri" w:eastAsia="Calibri" w:hAnsi="Calibri"/>
          <w:b/>
          <w:bCs/>
          <w:color w:val="E87722"/>
          <w:sz w:val="22"/>
          <w:szCs w:val="22"/>
        </w:rPr>
        <w:t xml:space="preserve">4.1. Développement sécurisé</w:t>
      </w:r>
    </w:p>
    <w:p>
      <w:pPr>
        <w:pStyle w:val="ListParagraph"/>
        <w:numPr>
          <w:ilvl w:val="0"/>
          <w:numId w:val="2"/>
        </w:numPr>
        <w:spacing w:after="60" w:line="260"/>
      </w:pPr>
      <w:r>
        <w:rPr>
          <w:rFonts w:ascii="Calibri" w:cs="Calibri" w:eastAsia="Calibri" w:hAnsi="Calibri"/>
          <w:sz w:val="20"/>
          <w:szCs w:val="20"/>
        </w:rPr>
        <w:t xml:space="preserve">Revue de code obligatoire avant merge en production (pull request peer-reviewed).</w:t>
      </w:r>
    </w:p>
    <w:p>
      <w:pPr>
        <w:pStyle w:val="ListParagraph"/>
        <w:numPr>
          <w:ilvl w:val="0"/>
          <w:numId w:val="2"/>
        </w:numPr>
        <w:spacing w:after="60" w:line="260"/>
      </w:pPr>
      <w:r>
        <w:rPr>
          <w:rFonts w:ascii="Calibri" w:cs="Calibri" w:eastAsia="Calibri" w:hAnsi="Calibri"/>
          <w:sz w:val="20"/>
          <w:szCs w:val="20"/>
        </w:rPr>
        <w:t xml:space="preserve">Tests automatisés (unitaires, intégration) — couverture ≥ 70 % cible An 1, ≥ 85 % cible An 3.</w:t>
      </w:r>
    </w:p>
    <w:p>
      <w:pPr>
        <w:pStyle w:val="ListParagraph"/>
        <w:numPr>
          <w:ilvl w:val="0"/>
          <w:numId w:val="2"/>
        </w:numPr>
        <w:spacing w:after="60" w:line="260"/>
      </w:pPr>
      <w:r>
        <w:rPr>
          <w:rFonts w:ascii="Calibri" w:cs="Calibri" w:eastAsia="Calibri" w:hAnsi="Calibri"/>
          <w:sz w:val="20"/>
          <w:szCs w:val="20"/>
        </w:rPr>
        <w:t xml:space="preserve">Analyse statique (SAST) intégrée à la CI : Snyk, Sonar ou équivalent.</w:t>
      </w:r>
    </w:p>
    <w:p>
      <w:pPr>
        <w:pStyle w:val="ListParagraph"/>
        <w:numPr>
          <w:ilvl w:val="0"/>
          <w:numId w:val="2"/>
        </w:numPr>
        <w:spacing w:after="60" w:line="260"/>
      </w:pPr>
      <w:r>
        <w:rPr>
          <w:rFonts w:ascii="Calibri" w:cs="Calibri" w:eastAsia="Calibri" w:hAnsi="Calibri"/>
          <w:sz w:val="20"/>
          <w:szCs w:val="20"/>
        </w:rPr>
        <w:t xml:space="preserve">Analyse dynamique (DAST) sur staging, mensuelle minimum.</w:t>
      </w:r>
    </w:p>
    <w:p>
      <w:pPr>
        <w:pStyle w:val="ListParagraph"/>
        <w:numPr>
          <w:ilvl w:val="0"/>
          <w:numId w:val="2"/>
        </w:numPr>
        <w:spacing w:after="60" w:line="260"/>
      </w:pPr>
      <w:r>
        <w:rPr>
          <w:rFonts w:ascii="Calibri" w:cs="Calibri" w:eastAsia="Calibri" w:hAnsi="Calibri"/>
          <w:sz w:val="20"/>
          <w:szCs w:val="20"/>
        </w:rPr>
        <w:t xml:space="preserve">Scan automatique des dépendances open source (CVE) — alertes hebdomadaires.</w:t>
      </w:r>
    </w:p>
    <w:p>
      <w:pPr>
        <w:pStyle w:val="ListParagraph"/>
        <w:numPr>
          <w:ilvl w:val="0"/>
          <w:numId w:val="2"/>
        </w:numPr>
        <w:spacing w:after="60" w:line="260"/>
      </w:pPr>
      <w:r>
        <w:rPr>
          <w:rFonts w:ascii="Calibri" w:cs="Calibri" w:eastAsia="Calibri" w:hAnsi="Calibri"/>
          <w:sz w:val="20"/>
          <w:szCs w:val="20"/>
        </w:rPr>
        <w:t xml:space="preserve">Validation systématique des entrées (anti-XSS, anti-SQLi, anti-SSRF).</w:t>
      </w:r>
    </w:p>
    <w:p>
      <w:pPr>
        <w:pStyle w:val="ListParagraph"/>
        <w:numPr>
          <w:ilvl w:val="0"/>
          <w:numId w:val="2"/>
        </w:numPr>
        <w:spacing w:after="60" w:line="260"/>
      </w:pPr>
      <w:r>
        <w:rPr>
          <w:rFonts w:ascii="Calibri" w:cs="Calibri" w:eastAsia="Calibri" w:hAnsi="Calibri"/>
          <w:sz w:val="20"/>
          <w:szCs w:val="20"/>
        </w:rPr>
        <w:t xml:space="preserve">Headers de sécurité HTTP : CSP strict, HSTS, X-Frame-Options, Referrer-Policy.</w:t>
      </w:r>
    </w:p>
    <w:p>
      <w:pPr>
        <w:spacing w:after="100" w:before="220"/>
      </w:pPr>
      <w:r>
        <w:rPr>
          <w:rFonts w:ascii="Calibri" w:cs="Calibri" w:eastAsia="Calibri" w:hAnsi="Calibri"/>
          <w:b/>
          <w:bCs/>
          <w:color w:val="E87722"/>
          <w:sz w:val="22"/>
          <w:szCs w:val="22"/>
        </w:rPr>
        <w:t xml:space="preserve">4.2. Données sensibles</w:t>
      </w:r>
    </w:p>
    <w:p>
      <w:pPr>
        <w:pStyle w:val="ListParagraph"/>
        <w:numPr>
          <w:ilvl w:val="0"/>
          <w:numId w:val="2"/>
        </w:numPr>
        <w:spacing w:after="60" w:line="260"/>
      </w:pPr>
      <w:r>
        <w:rPr>
          <w:rFonts w:ascii="Calibri" w:cs="Calibri" w:eastAsia="Calibri" w:hAnsi="Calibri"/>
          <w:sz w:val="20"/>
          <w:szCs w:val="20"/>
        </w:rPr>
        <w:t xml:space="preserve">Données de paiement : zéro stockage du PAN ou CVC — délégation totale à Stripe (PCI-DSS Level 1).</w:t>
      </w:r>
    </w:p>
    <w:p>
      <w:pPr>
        <w:pStyle w:val="ListParagraph"/>
        <w:numPr>
          <w:ilvl w:val="0"/>
          <w:numId w:val="2"/>
        </w:numPr>
        <w:spacing w:after="60" w:line="260"/>
      </w:pPr>
      <w:r>
        <w:rPr>
          <w:rFonts w:ascii="Calibri" w:cs="Calibri" w:eastAsia="Calibri" w:hAnsi="Calibri"/>
          <w:sz w:val="20"/>
          <w:szCs w:val="20"/>
        </w:rPr>
        <w:t xml:space="preserve">Données médicales (allergies, mobilité réduite) : chiffrement applicatif supplémentaire (champs colonne chiffrés).</w:t>
      </w:r>
    </w:p>
    <w:p>
      <w:pPr>
        <w:pStyle w:val="ListParagraph"/>
        <w:numPr>
          <w:ilvl w:val="0"/>
          <w:numId w:val="2"/>
        </w:numPr>
        <w:spacing w:after="60" w:line="260"/>
      </w:pPr>
      <w:r>
        <w:rPr>
          <w:rFonts w:ascii="Calibri" w:cs="Calibri" w:eastAsia="Calibri" w:hAnsi="Calibri"/>
          <w:sz w:val="20"/>
          <w:szCs w:val="20"/>
        </w:rPr>
        <w:t xml:space="preserve">Identité civile (CNI passeport pour voyages internationaux) : stockage temporaire chiffré, suppression après voyage.</w:t>
      </w:r>
    </w:p>
    <w:p>
      <w:pPr>
        <w:pStyle w:val="ListParagraph"/>
        <w:numPr>
          <w:ilvl w:val="0"/>
          <w:numId w:val="2"/>
        </w:numPr>
        <w:spacing w:after="60" w:line="260"/>
      </w:pPr>
      <w:r>
        <w:rPr>
          <w:rFonts w:ascii="Calibri" w:cs="Calibri" w:eastAsia="Calibri" w:hAnsi="Calibri"/>
          <w:sz w:val="20"/>
          <w:szCs w:val="20"/>
        </w:rPr>
        <w:t xml:space="preserve">Logs applicatifs : pas de PII en clair, masquage automatique des champs sensibles.</w:t>
      </w:r>
    </w:p>
    <w:p>
      <w:pPr>
        <w:spacing w:after="160" w:before="240"/>
      </w:pPr>
      <w:r>
        <w:rPr>
          <w:rFonts w:ascii="Calibri" w:cs="Calibri" w:eastAsia="Calibri" w:hAnsi="Calibri"/>
          <w:b/>
          <w:bCs/>
          <w:color w:val="1F4E79"/>
          <w:sz w:val="32"/>
          <w:szCs w:val="32"/>
        </w:rPr>
        <w:t xml:space="preserve">5. Sécurité des sauvegardes</w:t>
      </w:r>
    </w:p>
    <w:p>
      <w:pPr>
        <w:pStyle w:val="ListParagraph"/>
        <w:numPr>
          <w:ilvl w:val="0"/>
          <w:numId w:val="2"/>
        </w:numPr>
        <w:spacing w:after="60" w:line="260"/>
      </w:pPr>
      <w:r>
        <w:rPr>
          <w:rFonts w:ascii="Calibri" w:cs="Calibri" w:eastAsia="Calibri" w:hAnsi="Calibri"/>
          <w:sz w:val="20"/>
          <w:szCs w:val="20"/>
        </w:rPr>
        <w:t xml:space="preserve">Sauvegarde automatique quotidienne, conservation 30 jours sur scaleway.</w:t>
      </w:r>
    </w:p>
    <w:p>
      <w:pPr>
        <w:pStyle w:val="ListParagraph"/>
        <w:numPr>
          <w:ilvl w:val="0"/>
          <w:numId w:val="2"/>
        </w:numPr>
        <w:spacing w:after="60" w:line="260"/>
      </w:pPr>
      <w:r>
        <w:rPr>
          <w:rFonts w:ascii="Calibri" w:cs="Calibri" w:eastAsia="Calibri" w:hAnsi="Calibri"/>
          <w:sz w:val="20"/>
          <w:szCs w:val="20"/>
        </w:rPr>
        <w:t xml:space="preserve">Sauvegarde hebdomadaire dans une zone géographique distincte (résilience régionale).</w:t>
      </w:r>
    </w:p>
    <w:p>
      <w:pPr>
        <w:pStyle w:val="ListParagraph"/>
        <w:numPr>
          <w:ilvl w:val="0"/>
          <w:numId w:val="2"/>
        </w:numPr>
        <w:spacing w:after="60" w:line="260"/>
      </w:pPr>
      <w:r>
        <w:rPr>
          <w:rFonts w:ascii="Calibri" w:cs="Calibri" w:eastAsia="Calibri" w:hAnsi="Calibri"/>
          <w:sz w:val="20"/>
          <w:szCs w:val="20"/>
        </w:rPr>
        <w:t xml:space="preserve">Sauvegarde mensuelle long terme (12 mois) — chiffrement AES-256 avec clés rotatives.</w:t>
      </w:r>
    </w:p>
    <w:p>
      <w:pPr>
        <w:pStyle w:val="ListParagraph"/>
        <w:numPr>
          <w:ilvl w:val="0"/>
          <w:numId w:val="2"/>
        </w:numPr>
        <w:spacing w:after="60" w:line="260"/>
      </w:pPr>
      <w:r>
        <w:rPr>
          <w:rFonts w:ascii="Calibri" w:cs="Calibri" w:eastAsia="Calibri" w:hAnsi="Calibri"/>
          <w:sz w:val="20"/>
          <w:szCs w:val="20"/>
        </w:rPr>
        <w:t xml:space="preserve">Tests de restauration mensuels documentés (vérification d'intégrité).</w:t>
      </w:r>
    </w:p>
    <w:p>
      <w:pPr>
        <w:pStyle w:val="ListParagraph"/>
        <w:numPr>
          <w:ilvl w:val="0"/>
          <w:numId w:val="2"/>
        </w:numPr>
        <w:spacing w:after="60" w:line="260"/>
      </w:pPr>
      <w:r>
        <w:rPr>
          <w:rFonts w:ascii="Calibri" w:cs="Calibri" w:eastAsia="Calibri" w:hAnsi="Calibri"/>
          <w:sz w:val="20"/>
          <w:szCs w:val="20"/>
        </w:rPr>
        <w:t xml:space="preserve">RPO (Recovery Point Objective) : ≤ 24 h.</w:t>
      </w:r>
    </w:p>
    <w:p>
      <w:pPr>
        <w:pStyle w:val="ListParagraph"/>
        <w:numPr>
          <w:ilvl w:val="0"/>
          <w:numId w:val="2"/>
        </w:numPr>
        <w:spacing w:after="60" w:line="260"/>
      </w:pPr>
      <w:r>
        <w:rPr>
          <w:rFonts w:ascii="Calibri" w:cs="Calibri" w:eastAsia="Calibri" w:hAnsi="Calibri"/>
          <w:sz w:val="20"/>
          <w:szCs w:val="20"/>
        </w:rPr>
        <w:t xml:space="preserve">RTO (Recovery Time Objective) : ≤ 4 h pour la plateforme principale.</w:t>
      </w:r>
    </w:p>
    <w:p>
      <w:pPr>
        <w:spacing w:after="160" w:before="240"/>
      </w:pPr>
      <w:r>
        <w:rPr>
          <w:rFonts w:ascii="Calibri" w:cs="Calibri" w:eastAsia="Calibri" w:hAnsi="Calibri"/>
          <w:b/>
          <w:bCs/>
          <w:color w:val="1F4E79"/>
          <w:sz w:val="32"/>
          <w:szCs w:val="32"/>
        </w:rPr>
        <w:t xml:space="preserve">6. Sécurité des postes de travail</w:t>
      </w:r>
    </w:p>
    <w:p>
      <w:pPr>
        <w:pStyle w:val="ListParagraph"/>
        <w:numPr>
          <w:ilvl w:val="0"/>
          <w:numId w:val="2"/>
        </w:numPr>
        <w:spacing w:after="60" w:line="260"/>
      </w:pPr>
      <w:r>
        <w:rPr>
          <w:rFonts w:ascii="Calibri" w:cs="Calibri" w:eastAsia="Calibri" w:hAnsi="Calibri"/>
          <w:sz w:val="20"/>
          <w:szCs w:val="20"/>
        </w:rPr>
        <w:t xml:space="preserve">Chiffrement intégral du disque (BitLocker / FileVault).</w:t>
      </w:r>
    </w:p>
    <w:p>
      <w:pPr>
        <w:pStyle w:val="ListParagraph"/>
        <w:numPr>
          <w:ilvl w:val="0"/>
          <w:numId w:val="2"/>
        </w:numPr>
        <w:spacing w:after="60" w:line="260"/>
      </w:pPr>
      <w:r>
        <w:rPr>
          <w:rFonts w:ascii="Calibri" w:cs="Calibri" w:eastAsia="Calibri" w:hAnsi="Calibri"/>
          <w:sz w:val="20"/>
          <w:szCs w:val="20"/>
        </w:rPr>
        <w:t xml:space="preserve">Antivirus / EDR à jour, géré centralement.</w:t>
      </w:r>
    </w:p>
    <w:p>
      <w:pPr>
        <w:pStyle w:val="ListParagraph"/>
        <w:numPr>
          <w:ilvl w:val="0"/>
          <w:numId w:val="2"/>
        </w:numPr>
        <w:spacing w:after="60" w:line="260"/>
      </w:pPr>
      <w:r>
        <w:rPr>
          <w:rFonts w:ascii="Calibri" w:cs="Calibri" w:eastAsia="Calibri" w:hAnsi="Calibri"/>
          <w:sz w:val="20"/>
          <w:szCs w:val="20"/>
        </w:rPr>
        <w:t xml:space="preserve">Mises à jour système automatiques activées.</w:t>
      </w:r>
    </w:p>
    <w:p>
      <w:pPr>
        <w:pStyle w:val="ListParagraph"/>
        <w:numPr>
          <w:ilvl w:val="0"/>
          <w:numId w:val="2"/>
        </w:numPr>
        <w:spacing w:after="60" w:line="260"/>
      </w:pPr>
      <w:r>
        <w:rPr>
          <w:rFonts w:ascii="Calibri" w:cs="Calibri" w:eastAsia="Calibri" w:hAnsi="Calibri"/>
          <w:sz w:val="20"/>
          <w:szCs w:val="20"/>
        </w:rPr>
        <w:t xml:space="preserve">VPN obligatoire pour accès aux ressources internes hors locaux Eventy.</w:t>
      </w:r>
    </w:p>
    <w:p>
      <w:pPr>
        <w:pStyle w:val="ListParagraph"/>
        <w:numPr>
          <w:ilvl w:val="0"/>
          <w:numId w:val="2"/>
        </w:numPr>
        <w:spacing w:after="60" w:line="260"/>
      </w:pPr>
      <w:r>
        <w:rPr>
          <w:rFonts w:ascii="Calibri" w:cs="Calibri" w:eastAsia="Calibri" w:hAnsi="Calibri"/>
          <w:sz w:val="20"/>
          <w:szCs w:val="20"/>
        </w:rPr>
        <w:t xml:space="preserve">Verrouillage automatique de session ≤ 5 min d'inactivité.</w:t>
      </w:r>
    </w:p>
    <w:p>
      <w:pPr>
        <w:pStyle w:val="ListParagraph"/>
        <w:numPr>
          <w:ilvl w:val="0"/>
          <w:numId w:val="2"/>
        </w:numPr>
        <w:spacing w:after="60" w:line="260"/>
      </w:pPr>
      <w:r>
        <w:rPr>
          <w:rFonts w:ascii="Calibri" w:cs="Calibri" w:eastAsia="Calibri" w:hAnsi="Calibri"/>
          <w:sz w:val="20"/>
          <w:szCs w:val="20"/>
        </w:rPr>
        <w:t xml:space="preserve">Aucune installation de logiciel non approuvé — politique BYOD limitée.</w:t>
      </w:r>
    </w:p>
    <w:p>
      <w:pPr>
        <w:spacing w:after="160" w:before="240"/>
      </w:pPr>
      <w:r>
        <w:rPr>
          <w:rFonts w:ascii="Calibri" w:cs="Calibri" w:eastAsia="Calibri" w:hAnsi="Calibri"/>
          <w:b/>
          <w:bCs/>
          <w:color w:val="1F4E79"/>
          <w:sz w:val="32"/>
          <w:szCs w:val="32"/>
        </w:rPr>
        <w:t xml:space="preserve">7. Surveillance et détection</w:t>
      </w:r>
    </w:p>
    <w:p>
      <w:pPr>
        <w:pStyle w:val="ListParagraph"/>
        <w:numPr>
          <w:ilvl w:val="0"/>
          <w:numId w:val="2"/>
        </w:numPr>
        <w:spacing w:after="60" w:line="260"/>
      </w:pPr>
      <w:r>
        <w:rPr>
          <w:rFonts w:ascii="Calibri" w:cs="Calibri" w:eastAsia="Calibri" w:hAnsi="Calibri"/>
          <w:sz w:val="20"/>
          <w:szCs w:val="20"/>
        </w:rPr>
        <w:t xml:space="preserve">Logs centralisés (SIEM léger en An 1, full SIEM en An 3) : authentifications, accès admin, modifications de configuration.</w:t>
      </w:r>
    </w:p>
    <w:p>
      <w:pPr>
        <w:pStyle w:val="ListParagraph"/>
        <w:numPr>
          <w:ilvl w:val="0"/>
          <w:numId w:val="2"/>
        </w:numPr>
        <w:spacing w:after="60" w:line="260"/>
      </w:pPr>
      <w:r>
        <w:rPr>
          <w:rFonts w:ascii="Calibri" w:cs="Calibri" w:eastAsia="Calibri" w:hAnsi="Calibri"/>
          <w:sz w:val="20"/>
          <w:szCs w:val="20"/>
        </w:rPr>
        <w:t xml:space="preserve">Conservation des logs : 12 mois minimum (article 6 RGPD - intérêt légitime).</w:t>
      </w:r>
    </w:p>
    <w:p>
      <w:pPr>
        <w:pStyle w:val="ListParagraph"/>
        <w:numPr>
          <w:ilvl w:val="0"/>
          <w:numId w:val="2"/>
        </w:numPr>
        <w:spacing w:after="60" w:line="260"/>
      </w:pPr>
      <w:r>
        <w:rPr>
          <w:rFonts w:ascii="Calibri" w:cs="Calibri" w:eastAsia="Calibri" w:hAnsi="Calibri"/>
          <w:sz w:val="20"/>
          <w:szCs w:val="20"/>
        </w:rPr>
        <w:t xml:space="preserve">Alertes en temps réel sur événements suspects (tentatives répétées, escalade de privilèges, exfiltration anormale).</w:t>
      </w:r>
    </w:p>
    <w:p>
      <w:pPr>
        <w:pStyle w:val="ListParagraph"/>
        <w:numPr>
          <w:ilvl w:val="0"/>
          <w:numId w:val="2"/>
        </w:numPr>
        <w:spacing w:after="60" w:line="260"/>
      </w:pPr>
      <w:r>
        <w:rPr>
          <w:rFonts w:ascii="Calibri" w:cs="Calibri" w:eastAsia="Calibri" w:hAnsi="Calibri"/>
          <w:sz w:val="20"/>
          <w:szCs w:val="20"/>
        </w:rPr>
        <w:t xml:space="preserve">Monitoring de disponibilité 24/7 avec astreinte technique.</w:t>
      </w:r>
    </w:p>
    <w:p>
      <w:pPr>
        <w:pStyle w:val="ListParagraph"/>
        <w:numPr>
          <w:ilvl w:val="0"/>
          <w:numId w:val="2"/>
        </w:numPr>
        <w:spacing w:after="60" w:line="260"/>
      </w:pPr>
      <w:r>
        <w:rPr>
          <w:rFonts w:ascii="Calibri" w:cs="Calibri" w:eastAsia="Calibri" w:hAnsi="Calibri"/>
          <w:sz w:val="20"/>
          <w:szCs w:val="20"/>
        </w:rPr>
        <w:t xml:space="preserve">Veille sécurité quotidienne (CERT-FR, ANSSI, alertes éditeurs).</w:t>
      </w:r>
    </w:p>
    <w:p>
      <w:pPr>
        <w:spacing w:after="160" w:before="240"/>
      </w:pPr>
      <w:r>
        <w:rPr>
          <w:rFonts w:ascii="Calibri" w:cs="Calibri" w:eastAsia="Calibri" w:hAnsi="Calibri"/>
          <w:b/>
          <w:bCs/>
          <w:color w:val="1F4E79"/>
          <w:sz w:val="32"/>
          <w:szCs w:val="32"/>
        </w:rPr>
        <w:t xml:space="preserve">8. Tests et 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 de test</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Périodicité</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Réalisé par</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Pentest applicatif boîte noire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Annuel</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Cabinet externe certifié PASSI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Pentest applicatif boîte grise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Bisannuel (An 2+)</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Cabinet externe</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de configuration cloud</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Annuel</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Cabinet externe ou outil</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Scan de vulnérabilités automatique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Hebdomadaire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Outil interne (Snyk, Trivy)</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RGPD (avec DPO)</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Annuel</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DPO externe + Président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Test de restauration des sauvegardes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Mensuel</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Équipe technique</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Phishing test interne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Trimestriel</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Cabinet externe ou outil</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ISO 27001 (cible An 3)</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Annuel à partir d'An 3</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Cabinet certifié</w:t>
            </w:r>
          </w:p>
        </w:tc>
      </w:tr>
    </w:tbl>
    <w:p>
      <w:pPr>
        <w:spacing w:after="160" w:before="240"/>
      </w:pPr>
      <w:r>
        <w:rPr>
          <w:rFonts w:ascii="Calibri" w:cs="Calibri" w:eastAsia="Calibri" w:hAnsi="Calibri"/>
          <w:b/>
          <w:bCs/>
          <w:color w:val="1F4E79"/>
          <w:sz w:val="32"/>
          <w:szCs w:val="32"/>
        </w:rPr>
        <w:t xml:space="preserve">9. Gestion des incidents de sécurité</w:t>
      </w:r>
    </w:p>
    <w:p>
      <w:pPr>
        <w:spacing w:after="100" w:before="220"/>
      </w:pPr>
      <w:r>
        <w:rPr>
          <w:rFonts w:ascii="Calibri" w:cs="Calibri" w:eastAsia="Calibri" w:hAnsi="Calibri"/>
          <w:b/>
          <w:bCs/>
          <w:color w:val="E87722"/>
          <w:sz w:val="22"/>
          <w:szCs w:val="22"/>
        </w:rPr>
        <w:t xml:space="preserve">9.1. Niveaux de gravité</w:t>
      </w:r>
    </w:p>
    <w:p>
      <w:pPr>
        <w:pStyle w:val="ListParagraph"/>
        <w:numPr>
          <w:ilvl w:val="0"/>
          <w:numId w:val="2"/>
        </w:numPr>
        <w:spacing w:after="60" w:line="260"/>
      </w:pPr>
      <w:r>
        <w:rPr>
          <w:rFonts w:ascii="Calibri" w:cs="Calibri" w:eastAsia="Calibri" w:hAnsi="Calibri"/>
          <w:sz w:val="20"/>
          <w:szCs w:val="20"/>
        </w:rPr>
        <w:t xml:space="preserve">Niveau 1 — mineur : tentative bloquée, sans impact (alerte à journaliser).</w:t>
      </w:r>
    </w:p>
    <w:p>
      <w:pPr>
        <w:pStyle w:val="ListParagraph"/>
        <w:numPr>
          <w:ilvl w:val="0"/>
          <w:numId w:val="2"/>
        </w:numPr>
        <w:spacing w:after="60" w:line="260"/>
      </w:pPr>
      <w:r>
        <w:rPr>
          <w:rFonts w:ascii="Calibri" w:cs="Calibri" w:eastAsia="Calibri" w:hAnsi="Calibri"/>
          <w:sz w:val="20"/>
          <w:szCs w:val="20"/>
        </w:rPr>
        <w:t xml:space="preserve">Niveau 2 — modéré : compromission limitée d'un compte non-admin, exfiltration de données non sensibles.</w:t>
      </w:r>
    </w:p>
    <w:p>
      <w:pPr>
        <w:pStyle w:val="ListParagraph"/>
        <w:numPr>
          <w:ilvl w:val="0"/>
          <w:numId w:val="2"/>
        </w:numPr>
        <w:spacing w:after="60" w:line="260"/>
      </w:pPr>
      <w:r>
        <w:rPr>
          <w:rFonts w:ascii="Calibri" w:cs="Calibri" w:eastAsia="Calibri" w:hAnsi="Calibri"/>
          <w:sz w:val="20"/>
          <w:szCs w:val="20"/>
        </w:rPr>
        <w:t xml:space="preserve">Niveau 3 — majeur : compromission d'un compte admin, exfiltration de données voyageurs.</w:t>
      </w:r>
    </w:p>
    <w:p>
      <w:pPr>
        <w:pStyle w:val="ListParagraph"/>
        <w:numPr>
          <w:ilvl w:val="0"/>
          <w:numId w:val="2"/>
        </w:numPr>
        <w:spacing w:after="60" w:line="260"/>
      </w:pPr>
      <w:r>
        <w:rPr>
          <w:rFonts w:ascii="Calibri" w:cs="Calibri" w:eastAsia="Calibri" w:hAnsi="Calibri"/>
          <w:sz w:val="20"/>
          <w:szCs w:val="20"/>
        </w:rPr>
        <w:t xml:space="preserve">Niveau 4 — critique : prise de contrôle de la plateforme, ransomware, fuite massive.</w:t>
      </w:r>
    </w:p>
    <w:p>
      <w:pPr>
        <w:spacing w:after="100" w:before="220"/>
      </w:pPr>
      <w:r>
        <w:rPr>
          <w:rFonts w:ascii="Calibri" w:cs="Calibri" w:eastAsia="Calibri" w:hAnsi="Calibri"/>
          <w:b/>
          <w:bCs/>
          <w:color w:val="E87722"/>
          <w:sz w:val="22"/>
          <w:szCs w:val="22"/>
        </w:rPr>
        <w:t xml:space="preserve">9.2. Procédure de réponse</w:t>
      </w:r>
    </w:p>
    <w:p>
      <w:pPr>
        <w:pStyle w:val="ListParagraph"/>
        <w:numPr>
          <w:ilvl w:val="0"/>
          <w:numId w:val="3"/>
        </w:numPr>
        <w:spacing w:after="60" w:line="260"/>
      </w:pPr>
      <w:r>
        <w:rPr>
          <w:rFonts w:ascii="Calibri" w:cs="Calibri" w:eastAsia="Calibri" w:hAnsi="Calibri"/>
          <w:sz w:val="20"/>
          <w:szCs w:val="20"/>
        </w:rPr>
        <w:t xml:space="preserve">Détection — alerte automatique ou signalement (24/7 par astreinte technique).</w:t>
      </w:r>
    </w:p>
    <w:p>
      <w:pPr>
        <w:pStyle w:val="ListParagraph"/>
        <w:numPr>
          <w:ilvl w:val="0"/>
          <w:numId w:val="3"/>
        </w:numPr>
        <w:spacing w:after="60" w:line="260"/>
      </w:pPr>
      <w:r>
        <w:rPr>
          <w:rFonts w:ascii="Calibri" w:cs="Calibri" w:eastAsia="Calibri" w:hAnsi="Calibri"/>
          <w:sz w:val="20"/>
          <w:szCs w:val="20"/>
        </w:rPr>
        <w:t xml:space="preserve">Évaluation initiale (≤ 30 min) — niveau de gravité, périmètre.</w:t>
      </w:r>
    </w:p>
    <w:p>
      <w:pPr>
        <w:pStyle w:val="ListParagraph"/>
        <w:numPr>
          <w:ilvl w:val="0"/>
          <w:numId w:val="3"/>
        </w:numPr>
        <w:spacing w:after="60" w:line="260"/>
      </w:pPr>
      <w:r>
        <w:rPr>
          <w:rFonts w:ascii="Calibri" w:cs="Calibri" w:eastAsia="Calibri" w:hAnsi="Calibri"/>
          <w:sz w:val="20"/>
          <w:szCs w:val="20"/>
        </w:rPr>
        <w:t xml:space="preserve">Confinement — isolation des systèmes compromis, révocation des accès.</w:t>
      </w:r>
    </w:p>
    <w:p>
      <w:pPr>
        <w:pStyle w:val="ListParagraph"/>
        <w:numPr>
          <w:ilvl w:val="0"/>
          <w:numId w:val="3"/>
        </w:numPr>
        <w:spacing w:after="60" w:line="260"/>
      </w:pPr>
      <w:r>
        <w:rPr>
          <w:rFonts w:ascii="Calibri" w:cs="Calibri" w:eastAsia="Calibri" w:hAnsi="Calibri"/>
          <w:sz w:val="20"/>
          <w:szCs w:val="20"/>
        </w:rPr>
        <w:t xml:space="preserve">Investigation — analyse forensique, identification de la cause racine.</w:t>
      </w:r>
    </w:p>
    <w:p>
      <w:pPr>
        <w:pStyle w:val="ListParagraph"/>
        <w:numPr>
          <w:ilvl w:val="0"/>
          <w:numId w:val="3"/>
        </w:numPr>
        <w:spacing w:after="60" w:line="260"/>
      </w:pPr>
      <w:r>
        <w:rPr>
          <w:rFonts w:ascii="Calibri" w:cs="Calibri" w:eastAsia="Calibri" w:hAnsi="Calibri"/>
          <w:sz w:val="20"/>
          <w:szCs w:val="20"/>
        </w:rPr>
        <w:t xml:space="preserve">Notification CNIL si violation de données (sous 72 h — article 33 RGPD).</w:t>
      </w:r>
    </w:p>
    <w:p>
      <w:pPr>
        <w:pStyle w:val="ListParagraph"/>
        <w:numPr>
          <w:ilvl w:val="0"/>
          <w:numId w:val="3"/>
        </w:numPr>
        <w:spacing w:after="60" w:line="260"/>
      </w:pPr>
      <w:r>
        <w:rPr>
          <w:rFonts w:ascii="Calibri" w:cs="Calibri" w:eastAsia="Calibri" w:hAnsi="Calibri"/>
          <w:sz w:val="20"/>
          <w:szCs w:val="20"/>
        </w:rPr>
        <w:t xml:space="preserve">Notification des personnes concernées si risque élevé (article 34 RGPD).</w:t>
      </w:r>
    </w:p>
    <w:p>
      <w:pPr>
        <w:pStyle w:val="ListParagraph"/>
        <w:numPr>
          <w:ilvl w:val="0"/>
          <w:numId w:val="3"/>
        </w:numPr>
        <w:spacing w:after="60" w:line="260"/>
      </w:pPr>
      <w:r>
        <w:rPr>
          <w:rFonts w:ascii="Calibri" w:cs="Calibri" w:eastAsia="Calibri" w:hAnsi="Calibri"/>
          <w:sz w:val="20"/>
          <w:szCs w:val="20"/>
        </w:rPr>
        <w:t xml:space="preserve">Remédiation — correctifs, durcissement, changement des secrets.</w:t>
      </w:r>
    </w:p>
    <w:p>
      <w:pPr>
        <w:pStyle w:val="ListParagraph"/>
        <w:numPr>
          <w:ilvl w:val="0"/>
          <w:numId w:val="3"/>
        </w:numPr>
        <w:spacing w:after="60" w:line="260"/>
      </w:pPr>
      <w:r>
        <w:rPr>
          <w:rFonts w:ascii="Calibri" w:cs="Calibri" w:eastAsia="Calibri" w:hAnsi="Calibri"/>
          <w:sz w:val="20"/>
          <w:szCs w:val="20"/>
        </w:rPr>
        <w:t xml:space="preserve">Retour d'expérience documenté et partagé avec l'équipe.</w:t>
      </w:r>
    </w:p>
    <w:p>
      <w:pPr>
        <w:spacing w:after="160" w:before="240"/>
      </w:pPr>
      <w:r>
        <w:rPr>
          <w:rFonts w:ascii="Calibri" w:cs="Calibri" w:eastAsia="Calibri" w:hAnsi="Calibri"/>
          <w:b/>
          <w:bCs/>
          <w:color w:val="1F4E79"/>
          <w:sz w:val="32"/>
          <w:szCs w:val="32"/>
        </w:rPr>
        <w:t xml:space="preserve">10. Continuité d'activité (cyber)</w:t>
      </w:r>
    </w:p>
    <w:p>
      <w:pPr>
        <w:pStyle w:val="ListParagraph"/>
        <w:numPr>
          <w:ilvl w:val="0"/>
          <w:numId w:val="2"/>
        </w:numPr>
        <w:spacing w:after="60" w:line="260"/>
      </w:pPr>
      <w:r>
        <w:rPr>
          <w:rFonts w:ascii="Calibri" w:cs="Calibri" w:eastAsia="Calibri" w:hAnsi="Calibri"/>
          <w:sz w:val="20"/>
          <w:szCs w:val="20"/>
        </w:rPr>
        <w:t xml:space="preserve">Plan de continuité d'activité — voir document dédié (Eventy-Life-Plan-Continuite-Activite.pdf).</w:t>
      </w:r>
    </w:p>
    <w:p>
      <w:pPr>
        <w:pStyle w:val="ListParagraph"/>
        <w:numPr>
          <w:ilvl w:val="0"/>
          <w:numId w:val="2"/>
        </w:numPr>
        <w:spacing w:after="60" w:line="260"/>
      </w:pPr>
      <w:r>
        <w:rPr>
          <w:rFonts w:ascii="Calibri" w:cs="Calibri" w:eastAsia="Calibri" w:hAnsi="Calibri"/>
          <w:sz w:val="20"/>
          <w:szCs w:val="20"/>
        </w:rPr>
        <w:t xml:space="preserve">Architecture multi-AZ pour la production.</w:t>
      </w:r>
    </w:p>
    <w:p>
      <w:pPr>
        <w:pStyle w:val="ListParagraph"/>
        <w:numPr>
          <w:ilvl w:val="0"/>
          <w:numId w:val="2"/>
        </w:numPr>
        <w:spacing w:after="60" w:line="260"/>
      </w:pPr>
      <w:r>
        <w:rPr>
          <w:rFonts w:ascii="Calibri" w:cs="Calibri" w:eastAsia="Calibri" w:hAnsi="Calibri"/>
          <w:sz w:val="20"/>
          <w:szCs w:val="20"/>
        </w:rPr>
        <w:t xml:space="preserve">Procédure de bascule documentée et testée.</w:t>
      </w:r>
    </w:p>
    <w:p>
      <w:pPr>
        <w:pStyle w:val="ListParagraph"/>
        <w:numPr>
          <w:ilvl w:val="0"/>
          <w:numId w:val="2"/>
        </w:numPr>
        <w:spacing w:after="60" w:line="260"/>
      </w:pPr>
      <w:r>
        <w:rPr>
          <w:rFonts w:ascii="Calibri" w:cs="Calibri" w:eastAsia="Calibri" w:hAnsi="Calibri"/>
          <w:sz w:val="20"/>
          <w:szCs w:val="20"/>
        </w:rPr>
        <w:t xml:space="preserve">Communication de crise — voir Procédure de gestion de crise communication.</w:t>
      </w:r>
    </w:p>
    <w:p>
      <w:pPr>
        <w:spacing w:after="160" w:before="240"/>
      </w:pPr>
      <w:r>
        <w:rPr>
          <w:rFonts w:ascii="Calibri" w:cs="Calibri" w:eastAsia="Calibri" w:hAnsi="Calibri"/>
          <w:b/>
          <w:bCs/>
          <w:color w:val="1F4E79"/>
          <w:sz w:val="32"/>
          <w:szCs w:val="32"/>
        </w:rPr>
        <w:t xml:space="preserve">11. Sensibilisation et formation</w:t>
      </w:r>
    </w:p>
    <w:p>
      <w:pPr>
        <w:pStyle w:val="ListParagraph"/>
        <w:numPr>
          <w:ilvl w:val="0"/>
          <w:numId w:val="2"/>
        </w:numPr>
        <w:spacing w:after="60" w:line="260"/>
      </w:pPr>
      <w:r>
        <w:rPr>
          <w:rFonts w:ascii="Calibri" w:cs="Calibri" w:eastAsia="Calibri" w:hAnsi="Calibri"/>
          <w:sz w:val="20"/>
          <w:szCs w:val="20"/>
        </w:rPr>
        <w:t xml:space="preserve">Sensibilisation de l'équipe lors de l'onboarding (1h obligatoire).</w:t>
      </w:r>
    </w:p>
    <w:p>
      <w:pPr>
        <w:pStyle w:val="ListParagraph"/>
        <w:numPr>
          <w:ilvl w:val="0"/>
          <w:numId w:val="2"/>
        </w:numPr>
        <w:spacing w:after="60" w:line="260"/>
      </w:pPr>
      <w:r>
        <w:rPr>
          <w:rFonts w:ascii="Calibri" w:cs="Calibri" w:eastAsia="Calibri" w:hAnsi="Calibri"/>
          <w:sz w:val="20"/>
          <w:szCs w:val="20"/>
        </w:rPr>
        <w:t xml:space="preserve">Module de rappel annuel obligatoire (30 min).</w:t>
      </w:r>
    </w:p>
    <w:p>
      <w:pPr>
        <w:pStyle w:val="ListParagraph"/>
        <w:numPr>
          <w:ilvl w:val="0"/>
          <w:numId w:val="2"/>
        </w:numPr>
        <w:spacing w:after="60" w:line="260"/>
      </w:pPr>
      <w:r>
        <w:rPr>
          <w:rFonts w:ascii="Calibri" w:cs="Calibri" w:eastAsia="Calibri" w:hAnsi="Calibri"/>
          <w:sz w:val="20"/>
          <w:szCs w:val="20"/>
        </w:rPr>
        <w:t xml:space="preserve">Phishing test trimestriel avec restitution individuelle.</w:t>
      </w:r>
    </w:p>
    <w:p>
      <w:pPr>
        <w:pStyle w:val="ListParagraph"/>
        <w:numPr>
          <w:ilvl w:val="0"/>
          <w:numId w:val="2"/>
        </w:numPr>
        <w:spacing w:after="60" w:line="260"/>
      </w:pPr>
      <w:r>
        <w:rPr>
          <w:rFonts w:ascii="Calibri" w:cs="Calibri" w:eastAsia="Calibri" w:hAnsi="Calibri"/>
          <w:sz w:val="20"/>
          <w:szCs w:val="20"/>
        </w:rPr>
        <w:t xml:space="preserve">Newsletter sécurité mensuelle interne (5 min de lecture).</w:t>
      </w:r>
    </w:p>
    <w:p>
      <w:pPr>
        <w:pStyle w:val="ListParagraph"/>
        <w:numPr>
          <w:ilvl w:val="0"/>
          <w:numId w:val="2"/>
        </w:numPr>
        <w:spacing w:after="60" w:line="260"/>
      </w:pPr>
      <w:r>
        <w:rPr>
          <w:rFonts w:ascii="Calibri" w:cs="Calibri" w:eastAsia="Calibri" w:hAnsi="Calibri"/>
          <w:sz w:val="20"/>
          <w:szCs w:val="20"/>
        </w:rPr>
        <w:t xml:space="preserve">Référent sécurité interne identifié (CISO de fait — Président actuellement, à recruter en An 2).</w:t>
      </w:r>
    </w:p>
    <w:p>
      <w:pPr>
        <w:spacing w:after="160" w:before="240"/>
      </w:pPr>
      <w:r>
        <w:rPr>
          <w:rFonts w:ascii="Calibri" w:cs="Calibri" w:eastAsia="Calibri" w:hAnsi="Calibri"/>
          <w:b/>
          <w:bCs/>
          <w:color w:val="1F4E79"/>
          <w:sz w:val="32"/>
          <w:szCs w:val="32"/>
        </w:rPr>
        <w:t xml:space="preserve">12. Engagements chiffrés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 sécurité</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Disponibilité plateforme (uptime)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99,5 %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99,9 %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RPO (perte de données acceptable)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24 h</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h</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RTO (temps de reprise)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 h</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h</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Couverture MFA équipe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Couverture pentest annuel</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2×/an</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notification CNIL</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72 h</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24 h</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Couverture tests automatisés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Phishing test taux d'erreur</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Incidents N3 ou N4</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Certification ISO 27001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Lancée</w:t>
            </w:r>
          </w:p>
        </w:tc>
      </w:tr>
    </w:tbl>
    <w:p>
      <w:pPr>
        <w:spacing w:after="160" w:before="240"/>
      </w:pPr>
      <w:r>
        <w:rPr>
          <w:rFonts w:ascii="Calibri" w:cs="Calibri" w:eastAsia="Calibri" w:hAnsi="Calibri"/>
          <w:b/>
          <w:bCs/>
          <w:color w:val="1F4E79"/>
          <w:sz w:val="32"/>
          <w:szCs w:val="32"/>
        </w:rPr>
        <w:t xml:space="preserve">13. Gouvernance sécurité</w:t>
      </w:r>
    </w:p>
    <w:p>
      <w:pPr>
        <w:pStyle w:val="ListParagraph"/>
        <w:numPr>
          <w:ilvl w:val="0"/>
          <w:numId w:val="2"/>
        </w:numPr>
        <w:spacing w:after="60" w:line="260"/>
      </w:pPr>
      <w:r>
        <w:rPr>
          <w:rFonts w:ascii="Calibri" w:cs="Calibri" w:eastAsia="Calibri" w:hAnsi="Calibri"/>
          <w:sz w:val="20"/>
          <w:szCs w:val="20"/>
        </w:rPr>
        <w:t xml:space="preserve">Comité sécurité trimestriel (Président + référent sécurité + DPO).</w:t>
      </w:r>
    </w:p>
    <w:p>
      <w:pPr>
        <w:pStyle w:val="ListParagraph"/>
        <w:numPr>
          <w:ilvl w:val="0"/>
          <w:numId w:val="2"/>
        </w:numPr>
        <w:spacing w:after="60" w:line="260"/>
      </w:pPr>
      <w:r>
        <w:rPr>
          <w:rFonts w:ascii="Calibri" w:cs="Calibri" w:eastAsia="Calibri" w:hAnsi="Calibri"/>
          <w:sz w:val="20"/>
          <w:szCs w:val="20"/>
        </w:rPr>
        <w:t xml:space="preserve">Tableau de bord sécurité mensuel (incidents, vulnérabilités, indicateurs cibles).</w:t>
      </w:r>
    </w:p>
    <w:p>
      <w:pPr>
        <w:pStyle w:val="ListParagraph"/>
        <w:numPr>
          <w:ilvl w:val="0"/>
          <w:numId w:val="2"/>
        </w:numPr>
        <w:spacing w:after="60" w:line="260"/>
      </w:pPr>
      <w:r>
        <w:rPr>
          <w:rFonts w:ascii="Calibri" w:cs="Calibri" w:eastAsia="Calibri" w:hAnsi="Calibri"/>
          <w:sz w:val="20"/>
          <w:szCs w:val="20"/>
        </w:rPr>
        <w:t xml:space="preserve">Reporting annuel aux associés et investisseurs (assemblée générale).</w:t>
      </w:r>
    </w:p>
    <w:p>
      <w:pPr>
        <w:pStyle w:val="ListParagraph"/>
        <w:numPr>
          <w:ilvl w:val="0"/>
          <w:numId w:val="2"/>
        </w:numPr>
        <w:spacing w:after="60" w:line="260"/>
      </w:pPr>
      <w:r>
        <w:rPr>
          <w:rFonts w:ascii="Calibri" w:cs="Calibri" w:eastAsia="Calibri" w:hAnsi="Calibri"/>
          <w:sz w:val="20"/>
          <w:szCs w:val="20"/>
        </w:rPr>
        <w:t xml:space="preserve">Mise à jour de la présente politique : annuelle minimum, ou après incident majeur.</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1er mai 2026. Mise à jour annuelle.</w:t>
      </w:r>
    </w:p>
    <w:p>
      <w:pPr>
        <w:spacing w:after="100" w:line="280"/>
        <w:jc w:val="both"/>
      </w:pPr>
      <w:r>
        <w:rPr>
          <w:rFonts w:ascii="Calibri" w:cs="Calibri" w:eastAsia="Calibri" w:hAnsi="Calibri"/>
          <w:i/>
          <w:iCs/>
          <w:color w:val="555555"/>
          <w:sz w:val="18"/>
          <w:szCs w:val="18"/>
        </w:rPr>
        <w:t xml:space="preserve">Cohérence avec : Politique RGPD, DPA Sous-traitance RGPD, Plan de continuité d'activité, Procédure gestion de crise communication, Politique cookies.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cybersécurité · Confidentielle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cybersécurité</dc:title>
  <dc:creator>David Eventy — Eventy Life SAS</dc:creator>
  <dc:description>Politique de cybersécurité et sécurité des SI Eventy Life.</dc:description>
  <cp:lastModifiedBy>Un-named</cp:lastModifiedBy>
  <cp:revision>1</cp:revision>
  <dcterms:created xsi:type="dcterms:W3CDTF">2026-05-01T21:53:43.554Z</dcterms:created>
  <dcterms:modified xsi:type="dcterms:W3CDTF">2026-05-01T21:53:43.555Z</dcterms:modified>
</cp:coreProperties>
</file>

<file path=docProps/custom.xml><?xml version="1.0" encoding="utf-8"?>
<Properties xmlns="http://schemas.openxmlformats.org/officeDocument/2006/custom-properties" xmlns:vt="http://schemas.openxmlformats.org/officeDocument/2006/docPropsVTypes"/>
</file>