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GESTION DES LANGUES ET TRADUCTION</w:t>
            </w:r>
          </w:p>
          <w:p>
            <w:pPr>
              <w:spacing w:after="0"/>
              <w:jc w:val="center"/>
            </w:pPr>
            <w:r>
              <w:rPr>
                <w:rFonts w:ascii="Calibri" w:cs="Calibri" w:eastAsia="Calibri" w:hAnsi="Calibri"/>
                <w:i/>
                <w:iCs/>
                <w:color w:val="1F4E79"/>
                <w:sz w:val="18"/>
                <w:szCs w:val="18"/>
              </w:rPr>
              <w:t xml:space="preserve">Qualité multilingue Eventy Life pour expansion européenne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la gestion des langues et de la traduction chez EVENTY LIFE SAS dans la perspective de son expansion européenne. Elle complète le Plan d'expansion internationale, la Roadmap technique (volet internationalisation), la Charte éditoriale et la Politique d'achats responsables. Elle vise à garantir la qualité des traductions et la cohérence de l'âme Eventy en plusieurs langues.</w:t>
      </w:r>
    </w:p>
    <w:p>
      <w:pPr>
        <w:spacing w:after="100" w:line="280"/>
        <w:jc w:val="both"/>
      </w:pPr>
      <w:r>
        <w:rPr>
          <w:rFonts w:ascii="Calibri" w:cs="Calibri" w:eastAsia="Calibri" w:hAnsi="Calibri"/>
          <w:i/>
          <w:iCs/>
          <w:color w:val="1A1A1A"/>
          <w:sz w:val="20"/>
          <w:szCs w:val="20"/>
        </w:rPr>
        <w:t xml:space="preserve">Eventy considère la langue comme un acte de respect : parler la langue de son voyageur, c'est lui montrer qu'on le considère. Notre approche : traductions humaines (refus des outils automatiques pour les contenus contractuels), adaptation culturelle (refus du calque mécanique), maintien de la cohérence éditoriale dans toutes les langues.</w:t>
      </w:r>
    </w:p>
    <w:p>
      <w:pPr>
        <w:spacing w:after="160" w:before="240"/>
      </w:pPr>
      <w:r>
        <w:rPr>
          <w:rFonts w:ascii="Calibri" w:cs="Calibri" w:eastAsia="Calibri" w:hAnsi="Calibri"/>
          <w:b/>
          <w:bCs/>
          <w:color w:val="1F4E79"/>
          <w:sz w:val="32"/>
          <w:szCs w:val="32"/>
        </w:rPr>
        <w:t xml:space="preserve">1. Cadre</w:t>
      </w:r>
    </w:p>
    <w:p>
      <w:pPr>
        <w:spacing w:after="100" w:before="220"/>
      </w:pPr>
      <w:r>
        <w:rPr>
          <w:rFonts w:ascii="Calibri" w:cs="Calibri" w:eastAsia="Calibri" w:hAnsi="Calibri"/>
          <w:b/>
          <w:bCs/>
          <w:color w:val="E87722"/>
          <w:sz w:val="22"/>
          <w:szCs w:val="22"/>
        </w:rPr>
        <w:t xml:space="preserve">1.1. Calendrier des langues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2496"/>
        <w:gridCol w:w="1872"/>
      </w:tblGrid>
      <w:tr>
        <w:trPr>
          <w:tblHeader/>
        </w:trPr>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Langue</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déploiement</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Périmètre</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Public</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Français</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1 (lancement)</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Intégral</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France + Belgique francophone + Suisse romande + Luxembourg</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Anglais</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1 (T4)</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Site + supports clés</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International + voyageurs anglophones</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Espagnol</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2 (T2)</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Intégral</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Espagne + Latino voyageurs</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Italien</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3 (T1)</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Intégral</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Italie</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Portugais</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3 (T3)</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Intégral</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Portugal</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Néerlandais</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4</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Intégral</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Pays-Bas + Belgique flamande</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Allemand</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 5</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Intégral</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Allemagne + Autriche</w:t>
            </w:r>
          </w:p>
        </w:tc>
      </w:tr>
    </w:tbl>
    <w:p>
      <w:pPr>
        <w:spacing w:after="160" w:before="240"/>
      </w:pPr>
      <w:r>
        <w:rPr>
          <w:rFonts w:ascii="Calibri" w:cs="Calibri" w:eastAsia="Calibri" w:hAnsi="Calibri"/>
          <w:b/>
          <w:bCs/>
          <w:color w:val="1F4E79"/>
          <w:sz w:val="32"/>
          <w:szCs w:val="32"/>
        </w:rPr>
        <w:t xml:space="preserve">2. Principes directeurs</w:t>
      </w:r>
    </w:p>
    <w:p>
      <w:pPr>
        <w:spacing w:after="100" w:before="220"/>
      </w:pPr>
      <w:r>
        <w:rPr>
          <w:rFonts w:ascii="Calibri" w:cs="Calibri" w:eastAsia="Calibri" w:hAnsi="Calibri"/>
          <w:b/>
          <w:bCs/>
          <w:color w:val="E87722"/>
          <w:sz w:val="22"/>
          <w:szCs w:val="22"/>
        </w:rPr>
        <w:t xml:space="preserve">2.1. Cinq principes</w:t>
      </w:r>
    </w:p>
    <w:p>
      <w:pPr>
        <w:pStyle w:val="ListParagraph"/>
        <w:numPr>
          <w:ilvl w:val="0"/>
          <w:numId w:val="2"/>
        </w:numPr>
        <w:spacing w:after="60" w:line="260"/>
      </w:pPr>
      <w:r>
        <w:rPr>
          <w:rFonts w:ascii="Calibri" w:cs="Calibri" w:eastAsia="Calibri" w:hAnsi="Calibri"/>
          <w:sz w:val="20"/>
          <w:szCs w:val="20"/>
        </w:rPr>
        <w:t xml:space="preserve">Qualité humaine — refus de la traduction automatique pour les contenus contractuels.</w:t>
      </w:r>
    </w:p>
    <w:p>
      <w:pPr>
        <w:pStyle w:val="ListParagraph"/>
        <w:numPr>
          <w:ilvl w:val="0"/>
          <w:numId w:val="2"/>
        </w:numPr>
        <w:spacing w:after="60" w:line="260"/>
      </w:pPr>
      <w:r>
        <w:rPr>
          <w:rFonts w:ascii="Calibri" w:cs="Calibri" w:eastAsia="Calibri" w:hAnsi="Calibri"/>
          <w:sz w:val="20"/>
          <w:szCs w:val="20"/>
        </w:rPr>
        <w:t xml:space="preserve">Adaptation culturelle — refus du calque mécanique.</w:t>
      </w:r>
    </w:p>
    <w:p>
      <w:pPr>
        <w:pStyle w:val="ListParagraph"/>
        <w:numPr>
          <w:ilvl w:val="0"/>
          <w:numId w:val="2"/>
        </w:numPr>
        <w:spacing w:after="60" w:line="260"/>
      </w:pPr>
      <w:r>
        <w:rPr>
          <w:rFonts w:ascii="Calibri" w:cs="Calibri" w:eastAsia="Calibri" w:hAnsi="Calibri"/>
          <w:sz w:val="20"/>
          <w:szCs w:val="20"/>
        </w:rPr>
        <w:t xml:space="preserve">Cohérence éditoriale — l'âme Eventy traverse toutes les langues.</w:t>
      </w:r>
    </w:p>
    <w:p>
      <w:pPr>
        <w:pStyle w:val="ListParagraph"/>
        <w:numPr>
          <w:ilvl w:val="0"/>
          <w:numId w:val="2"/>
        </w:numPr>
        <w:spacing w:after="60" w:line="260"/>
      </w:pPr>
      <w:r>
        <w:rPr>
          <w:rFonts w:ascii="Calibri" w:cs="Calibri" w:eastAsia="Calibri" w:hAnsi="Calibri"/>
          <w:sz w:val="20"/>
          <w:szCs w:val="20"/>
        </w:rPr>
        <w:t xml:space="preserve">Inclusivité — langage épicène quand possible (cohérence Charte éditoriale + Charte d'inclusion).</w:t>
      </w:r>
    </w:p>
    <w:p>
      <w:pPr>
        <w:pStyle w:val="ListParagraph"/>
        <w:numPr>
          <w:ilvl w:val="0"/>
          <w:numId w:val="2"/>
        </w:numPr>
        <w:spacing w:after="60" w:line="260"/>
      </w:pPr>
      <w:r>
        <w:rPr>
          <w:rFonts w:ascii="Calibri" w:cs="Calibri" w:eastAsia="Calibri" w:hAnsi="Calibri"/>
          <w:sz w:val="20"/>
          <w:szCs w:val="20"/>
        </w:rPr>
        <w:t xml:space="preserve">Maintenance — mises à jour synchronisées entre les versions.</w:t>
      </w:r>
    </w:p>
    <w:p>
      <w:pPr>
        <w:spacing w:after="100" w:before="220"/>
      </w:pPr>
      <w:r>
        <w:rPr>
          <w:rFonts w:ascii="Calibri" w:cs="Calibri" w:eastAsia="Calibri" w:hAnsi="Calibri"/>
          <w:b/>
          <w:bCs/>
          <w:color w:val="E87722"/>
          <w:sz w:val="22"/>
          <w:szCs w:val="22"/>
        </w:rPr>
        <w:t xml:space="preserve">2.2. Refus structurés</w:t>
      </w:r>
    </w:p>
    <w:p>
      <w:pPr>
        <w:pStyle w:val="ListParagraph"/>
        <w:numPr>
          <w:ilvl w:val="0"/>
          <w:numId w:val="2"/>
        </w:numPr>
        <w:spacing w:after="60" w:line="260"/>
      </w:pPr>
      <w:r>
        <w:rPr>
          <w:rFonts w:ascii="Calibri" w:cs="Calibri" w:eastAsia="Calibri" w:hAnsi="Calibri"/>
          <w:sz w:val="20"/>
          <w:szCs w:val="20"/>
        </w:rPr>
        <w:t xml:space="preserve">Refus de Google Translate ou ChatGPT pour les contenus contractuels.</w:t>
      </w:r>
    </w:p>
    <w:p>
      <w:pPr>
        <w:pStyle w:val="ListParagraph"/>
        <w:numPr>
          <w:ilvl w:val="0"/>
          <w:numId w:val="2"/>
        </w:numPr>
        <w:spacing w:after="60" w:line="260"/>
      </w:pPr>
      <w:r>
        <w:rPr>
          <w:rFonts w:ascii="Calibri" w:cs="Calibri" w:eastAsia="Calibri" w:hAnsi="Calibri"/>
          <w:sz w:val="20"/>
          <w:szCs w:val="20"/>
        </w:rPr>
        <w:t xml:space="preserve">Refus du « franglais » dans les versions FR (cohérence Charte éditoriale).</w:t>
      </w:r>
    </w:p>
    <w:p>
      <w:pPr>
        <w:pStyle w:val="ListParagraph"/>
        <w:numPr>
          <w:ilvl w:val="0"/>
          <w:numId w:val="2"/>
        </w:numPr>
        <w:spacing w:after="60" w:line="260"/>
      </w:pPr>
      <w:r>
        <w:rPr>
          <w:rFonts w:ascii="Calibri" w:cs="Calibri" w:eastAsia="Calibri" w:hAnsi="Calibri"/>
          <w:sz w:val="20"/>
          <w:szCs w:val="20"/>
        </w:rPr>
        <w:t xml:space="preserve">Refus de la traduction approximative.</w:t>
      </w:r>
    </w:p>
    <w:p>
      <w:pPr>
        <w:pStyle w:val="ListParagraph"/>
        <w:numPr>
          <w:ilvl w:val="0"/>
          <w:numId w:val="2"/>
        </w:numPr>
        <w:spacing w:after="60" w:line="260"/>
      </w:pPr>
      <w:r>
        <w:rPr>
          <w:rFonts w:ascii="Calibri" w:cs="Calibri" w:eastAsia="Calibri" w:hAnsi="Calibri"/>
          <w:sz w:val="20"/>
          <w:szCs w:val="20"/>
        </w:rPr>
        <w:t xml:space="preserve">Refus de l'utilisation d'outils non européens pour les contenus sensibles.</w:t>
      </w:r>
    </w:p>
    <w:p>
      <w:pPr>
        <w:pStyle w:val="ListParagraph"/>
        <w:numPr>
          <w:ilvl w:val="0"/>
          <w:numId w:val="2"/>
        </w:numPr>
        <w:spacing w:after="60" w:line="260"/>
      </w:pPr>
      <w:r>
        <w:rPr>
          <w:rFonts w:ascii="Calibri" w:cs="Calibri" w:eastAsia="Calibri" w:hAnsi="Calibri"/>
          <w:sz w:val="20"/>
          <w:szCs w:val="20"/>
        </w:rPr>
        <w:t xml:space="preserve">Refus de la traduction symbolique (annoncer multilingue avec une seule page traduite).</w:t>
      </w:r>
    </w:p>
    <w:p>
      <w:pPr>
        <w:spacing w:after="160" w:before="240"/>
      </w:pPr>
      <w:r>
        <w:rPr>
          <w:rFonts w:ascii="Calibri" w:cs="Calibri" w:eastAsia="Calibri" w:hAnsi="Calibri"/>
          <w:b/>
          <w:bCs/>
          <w:color w:val="1F4E79"/>
          <w:sz w:val="32"/>
          <w:szCs w:val="32"/>
        </w:rPr>
        <w:t xml:space="preserve">3. Hiérarchie des contenus</w:t>
      </w:r>
    </w:p>
    <w:p>
      <w:pPr>
        <w:spacing w:after="100" w:before="220"/>
      </w:pPr>
      <w:r>
        <w:rPr>
          <w:rFonts w:ascii="Calibri" w:cs="Calibri" w:eastAsia="Calibri" w:hAnsi="Calibri"/>
          <w:b/>
          <w:bCs/>
          <w:color w:val="E87722"/>
          <w:sz w:val="22"/>
          <w:szCs w:val="22"/>
        </w:rPr>
        <w:t xml:space="preserve">3.1. Niveau 1 — Contractuel et légal (traduction humaine obligatoire)</w:t>
      </w:r>
    </w:p>
    <w:p>
      <w:pPr>
        <w:pStyle w:val="ListParagraph"/>
        <w:numPr>
          <w:ilvl w:val="0"/>
          <w:numId w:val="2"/>
        </w:numPr>
        <w:spacing w:after="60" w:line="260"/>
      </w:pPr>
      <w:r>
        <w:rPr>
          <w:rFonts w:ascii="Calibri" w:cs="Calibri" w:eastAsia="Calibri" w:hAnsi="Calibri"/>
          <w:sz w:val="20"/>
          <w:szCs w:val="20"/>
        </w:rPr>
        <w:t xml:space="preserve">CGV (cohérence CGV Eventy).</w:t>
      </w:r>
    </w:p>
    <w:p>
      <w:pPr>
        <w:pStyle w:val="ListParagraph"/>
        <w:numPr>
          <w:ilvl w:val="0"/>
          <w:numId w:val="2"/>
        </w:numPr>
        <w:spacing w:after="60" w:line="260"/>
      </w:pPr>
      <w:r>
        <w:rPr>
          <w:rFonts w:ascii="Calibri" w:cs="Calibri" w:eastAsia="Calibri" w:hAnsi="Calibri"/>
          <w:sz w:val="20"/>
          <w:szCs w:val="20"/>
        </w:rPr>
        <w:t xml:space="preserve">Mentions légales.</w:t>
      </w:r>
    </w:p>
    <w:p>
      <w:pPr>
        <w:pStyle w:val="ListParagraph"/>
        <w:numPr>
          <w:ilvl w:val="0"/>
          <w:numId w:val="2"/>
        </w:numPr>
        <w:spacing w:after="60" w:line="260"/>
      </w:pPr>
      <w:r>
        <w:rPr>
          <w:rFonts w:ascii="Calibri" w:cs="Calibri" w:eastAsia="Calibri" w:hAnsi="Calibri"/>
          <w:sz w:val="20"/>
          <w:szCs w:val="20"/>
        </w:rPr>
        <w:t xml:space="preserve">Politique RGPD.</w:t>
      </w:r>
    </w:p>
    <w:p>
      <w:pPr>
        <w:pStyle w:val="ListParagraph"/>
        <w:numPr>
          <w:ilvl w:val="0"/>
          <w:numId w:val="2"/>
        </w:numPr>
        <w:spacing w:after="60" w:line="260"/>
      </w:pPr>
      <w:r>
        <w:rPr>
          <w:rFonts w:ascii="Calibri" w:cs="Calibri" w:eastAsia="Calibri" w:hAnsi="Calibri"/>
          <w:sz w:val="20"/>
          <w:szCs w:val="20"/>
        </w:rPr>
        <w:t xml:space="preserve">Politique cookies.</w:t>
      </w:r>
    </w:p>
    <w:p>
      <w:pPr>
        <w:pStyle w:val="ListParagraph"/>
        <w:numPr>
          <w:ilvl w:val="0"/>
          <w:numId w:val="2"/>
        </w:numPr>
        <w:spacing w:after="60" w:line="260"/>
      </w:pPr>
      <w:r>
        <w:rPr>
          <w:rFonts w:ascii="Calibri" w:cs="Calibri" w:eastAsia="Calibri" w:hAnsi="Calibri"/>
          <w:sz w:val="20"/>
          <w:szCs w:val="20"/>
        </w:rPr>
        <w:t xml:space="preserve">Information précontractuelle.</w:t>
      </w:r>
    </w:p>
    <w:p>
      <w:pPr>
        <w:pStyle w:val="ListParagraph"/>
        <w:numPr>
          <w:ilvl w:val="0"/>
          <w:numId w:val="2"/>
        </w:numPr>
        <w:spacing w:after="60" w:line="260"/>
      </w:pPr>
      <w:r>
        <w:rPr>
          <w:rFonts w:ascii="Calibri" w:cs="Calibri" w:eastAsia="Calibri" w:hAnsi="Calibri"/>
          <w:sz w:val="20"/>
          <w:szCs w:val="20"/>
        </w:rPr>
        <w:t xml:space="preserve">Bons de commande.</w:t>
      </w:r>
    </w:p>
    <w:p>
      <w:pPr>
        <w:pStyle w:val="ListParagraph"/>
        <w:numPr>
          <w:ilvl w:val="0"/>
          <w:numId w:val="2"/>
        </w:numPr>
        <w:spacing w:after="60" w:line="260"/>
      </w:pPr>
      <w:r>
        <w:rPr>
          <w:rFonts w:ascii="Calibri" w:cs="Calibri" w:eastAsia="Calibri" w:hAnsi="Calibri"/>
          <w:sz w:val="20"/>
          <w:szCs w:val="20"/>
        </w:rPr>
        <w:t xml:space="preserve">Validation par avocat partenaire local pour les pays cibles.</w:t>
      </w:r>
    </w:p>
    <w:p>
      <w:pPr>
        <w:spacing w:after="100" w:before="220"/>
      </w:pPr>
      <w:r>
        <w:rPr>
          <w:rFonts w:ascii="Calibri" w:cs="Calibri" w:eastAsia="Calibri" w:hAnsi="Calibri"/>
          <w:b/>
          <w:bCs/>
          <w:color w:val="E87722"/>
          <w:sz w:val="22"/>
          <w:szCs w:val="22"/>
        </w:rPr>
        <w:t xml:space="preserve">3.2. Niveau 2 — Communication officielle (traduction humaine recommandée)</w:t>
      </w:r>
    </w:p>
    <w:p>
      <w:pPr>
        <w:pStyle w:val="ListParagraph"/>
        <w:numPr>
          <w:ilvl w:val="0"/>
          <w:numId w:val="2"/>
        </w:numPr>
        <w:spacing w:after="60" w:line="260"/>
      </w:pPr>
      <w:r>
        <w:rPr>
          <w:rFonts w:ascii="Calibri" w:cs="Calibri" w:eastAsia="Calibri" w:hAnsi="Calibri"/>
          <w:sz w:val="20"/>
          <w:szCs w:val="20"/>
        </w:rPr>
        <w:t xml:space="preserve">Page d'accueil eventylife.fr.</w:t>
      </w:r>
    </w:p>
    <w:p>
      <w:pPr>
        <w:pStyle w:val="ListParagraph"/>
        <w:numPr>
          <w:ilvl w:val="0"/>
          <w:numId w:val="2"/>
        </w:numPr>
        <w:spacing w:after="60" w:line="260"/>
      </w:pPr>
      <w:r>
        <w:rPr>
          <w:rFonts w:ascii="Calibri" w:cs="Calibri" w:eastAsia="Calibri" w:hAnsi="Calibri"/>
          <w:sz w:val="20"/>
          <w:szCs w:val="20"/>
        </w:rPr>
        <w:t xml:space="preserve">Fiches voyages.</w:t>
      </w:r>
    </w:p>
    <w:p>
      <w:pPr>
        <w:pStyle w:val="ListParagraph"/>
        <w:numPr>
          <w:ilvl w:val="0"/>
          <w:numId w:val="2"/>
        </w:numPr>
        <w:spacing w:after="60" w:line="260"/>
      </w:pPr>
      <w:r>
        <w:rPr>
          <w:rFonts w:ascii="Calibri" w:cs="Calibri" w:eastAsia="Calibri" w:hAnsi="Calibri"/>
          <w:sz w:val="20"/>
          <w:szCs w:val="20"/>
        </w:rPr>
        <w:t xml:space="preserve">Pages produits (Pack Sérénité, programme Famille).</w:t>
      </w:r>
    </w:p>
    <w:p>
      <w:pPr>
        <w:pStyle w:val="ListParagraph"/>
        <w:numPr>
          <w:ilvl w:val="0"/>
          <w:numId w:val="2"/>
        </w:numPr>
        <w:spacing w:after="60" w:line="260"/>
      </w:pPr>
      <w:r>
        <w:rPr>
          <w:rFonts w:ascii="Calibri" w:cs="Calibri" w:eastAsia="Calibri" w:hAnsi="Calibri"/>
          <w:sz w:val="20"/>
          <w:szCs w:val="20"/>
        </w:rPr>
        <w:t xml:space="preserve">Emails transactionnels (confirmation, voucher, etc.).</w:t>
      </w:r>
    </w:p>
    <w:p>
      <w:pPr>
        <w:pStyle w:val="ListParagraph"/>
        <w:numPr>
          <w:ilvl w:val="0"/>
          <w:numId w:val="2"/>
        </w:numPr>
        <w:spacing w:after="60" w:line="260"/>
      </w:pPr>
      <w:r>
        <w:rPr>
          <w:rFonts w:ascii="Calibri" w:cs="Calibri" w:eastAsia="Calibri" w:hAnsi="Calibri"/>
          <w:sz w:val="20"/>
          <w:szCs w:val="20"/>
        </w:rPr>
        <w:t xml:space="preserve">Manuel voyageur autonome.</w:t>
      </w:r>
    </w:p>
    <w:p>
      <w:pPr>
        <w:spacing w:after="100" w:before="220"/>
      </w:pPr>
      <w:r>
        <w:rPr>
          <w:rFonts w:ascii="Calibri" w:cs="Calibri" w:eastAsia="Calibri" w:hAnsi="Calibri"/>
          <w:b/>
          <w:bCs/>
          <w:color w:val="E87722"/>
          <w:sz w:val="22"/>
          <w:szCs w:val="22"/>
        </w:rPr>
        <w:t xml:space="preserve">3.3. Niveau 3 — Marketing (traduction humaine + adaptation)</w:t>
      </w:r>
    </w:p>
    <w:p>
      <w:pPr>
        <w:pStyle w:val="ListParagraph"/>
        <w:numPr>
          <w:ilvl w:val="0"/>
          <w:numId w:val="2"/>
        </w:numPr>
        <w:spacing w:after="60" w:line="260"/>
      </w:pPr>
      <w:r>
        <w:rPr>
          <w:rFonts w:ascii="Calibri" w:cs="Calibri" w:eastAsia="Calibri" w:hAnsi="Calibri"/>
          <w:sz w:val="20"/>
          <w:szCs w:val="20"/>
        </w:rPr>
        <w:t xml:space="preserve">Articles blog.</w:t>
      </w:r>
    </w:p>
    <w:p>
      <w:pPr>
        <w:pStyle w:val="ListParagraph"/>
        <w:numPr>
          <w:ilvl w:val="0"/>
          <w:numId w:val="2"/>
        </w:numPr>
        <w:spacing w:after="60" w:line="260"/>
      </w:pPr>
      <w:r>
        <w:rPr>
          <w:rFonts w:ascii="Calibri" w:cs="Calibri" w:eastAsia="Calibri" w:hAnsi="Calibri"/>
          <w:sz w:val="20"/>
          <w:szCs w:val="20"/>
        </w:rPr>
        <w:t xml:space="preserve">Posts réseaux sociaux.</w:t>
      </w:r>
    </w:p>
    <w:p>
      <w:pPr>
        <w:pStyle w:val="ListParagraph"/>
        <w:numPr>
          <w:ilvl w:val="0"/>
          <w:numId w:val="2"/>
        </w:numPr>
        <w:spacing w:after="60" w:line="260"/>
      </w:pPr>
      <w:r>
        <w:rPr>
          <w:rFonts w:ascii="Calibri" w:cs="Calibri" w:eastAsia="Calibri" w:hAnsi="Calibri"/>
          <w:sz w:val="20"/>
          <w:szCs w:val="20"/>
        </w:rPr>
        <w:t xml:space="preserve">Newsletters.</w:t>
      </w:r>
    </w:p>
    <w:p>
      <w:pPr>
        <w:pStyle w:val="ListParagraph"/>
        <w:numPr>
          <w:ilvl w:val="0"/>
          <w:numId w:val="2"/>
        </w:numPr>
        <w:spacing w:after="60" w:line="260"/>
      </w:pPr>
      <w:r>
        <w:rPr>
          <w:rFonts w:ascii="Calibri" w:cs="Calibri" w:eastAsia="Calibri" w:hAnsi="Calibri"/>
          <w:sz w:val="20"/>
          <w:szCs w:val="20"/>
        </w:rPr>
        <w:t xml:space="preserve">Témoignages voyageurs (avec accord).</w:t>
      </w:r>
    </w:p>
    <w:p>
      <w:pPr>
        <w:pStyle w:val="ListParagraph"/>
        <w:numPr>
          <w:ilvl w:val="0"/>
          <w:numId w:val="2"/>
        </w:numPr>
        <w:spacing w:after="60" w:line="260"/>
      </w:pPr>
      <w:r>
        <w:rPr>
          <w:rFonts w:ascii="Calibri" w:cs="Calibri" w:eastAsia="Calibri" w:hAnsi="Calibri"/>
          <w:sz w:val="20"/>
          <w:szCs w:val="20"/>
        </w:rPr>
        <w:t xml:space="preserve">Adaptation culturelle requise (références, exemples, ton).</w:t>
      </w:r>
    </w:p>
    <w:p>
      <w:pPr>
        <w:spacing w:after="100" w:before="220"/>
      </w:pPr>
      <w:r>
        <w:rPr>
          <w:rFonts w:ascii="Calibri" w:cs="Calibri" w:eastAsia="Calibri" w:hAnsi="Calibri"/>
          <w:b/>
          <w:bCs/>
          <w:color w:val="E87722"/>
          <w:sz w:val="22"/>
          <w:szCs w:val="22"/>
        </w:rPr>
        <w:t xml:space="preserve">3.4. Niveau 4 — Communautaire (traduction assistée acceptée)</w:t>
      </w:r>
    </w:p>
    <w:p>
      <w:pPr>
        <w:pStyle w:val="ListParagraph"/>
        <w:numPr>
          <w:ilvl w:val="0"/>
          <w:numId w:val="2"/>
        </w:numPr>
        <w:spacing w:after="60" w:line="260"/>
      </w:pPr>
      <w:r>
        <w:rPr>
          <w:rFonts w:ascii="Calibri" w:cs="Calibri" w:eastAsia="Calibri" w:hAnsi="Calibri"/>
          <w:sz w:val="20"/>
          <w:szCs w:val="20"/>
        </w:rPr>
        <w:t xml:space="preserve">Posts groupe Facebook Famille.</w:t>
      </w:r>
    </w:p>
    <w:p>
      <w:pPr>
        <w:pStyle w:val="ListParagraph"/>
        <w:numPr>
          <w:ilvl w:val="0"/>
          <w:numId w:val="2"/>
        </w:numPr>
        <w:spacing w:after="60" w:line="260"/>
      </w:pPr>
      <w:r>
        <w:rPr>
          <w:rFonts w:ascii="Calibri" w:cs="Calibri" w:eastAsia="Calibri" w:hAnsi="Calibri"/>
          <w:sz w:val="20"/>
          <w:szCs w:val="20"/>
        </w:rPr>
        <w:t xml:space="preserve">Réponses sur les réseaux sociaux.</w:t>
      </w:r>
    </w:p>
    <w:p>
      <w:pPr>
        <w:pStyle w:val="ListParagraph"/>
        <w:numPr>
          <w:ilvl w:val="0"/>
          <w:numId w:val="2"/>
        </w:numPr>
        <w:spacing w:after="60" w:line="260"/>
      </w:pPr>
      <w:r>
        <w:rPr>
          <w:rFonts w:ascii="Calibri" w:cs="Calibri" w:eastAsia="Calibri" w:hAnsi="Calibri"/>
          <w:sz w:val="20"/>
          <w:szCs w:val="20"/>
        </w:rPr>
        <w:t xml:space="preserve">Contenus UGC.</w:t>
      </w:r>
    </w:p>
    <w:p>
      <w:pPr>
        <w:pStyle w:val="ListParagraph"/>
        <w:numPr>
          <w:ilvl w:val="0"/>
          <w:numId w:val="2"/>
        </w:numPr>
        <w:spacing w:after="60" w:line="260"/>
      </w:pPr>
      <w:r>
        <w:rPr>
          <w:rFonts w:ascii="Calibri" w:cs="Calibri" w:eastAsia="Calibri" w:hAnsi="Calibri"/>
          <w:sz w:val="20"/>
          <w:szCs w:val="20"/>
        </w:rPr>
        <w:t xml:space="preserve">Outils de traduction assistée acceptés (DeepL, Reverso) sous validation humaine.</w:t>
      </w:r>
    </w:p>
    <w:p>
      <w:pPr>
        <w:spacing w:after="160" w:before="240"/>
      </w:pPr>
      <w:r>
        <w:rPr>
          <w:rFonts w:ascii="Calibri" w:cs="Calibri" w:eastAsia="Calibri" w:hAnsi="Calibri"/>
          <w:b/>
          <w:bCs/>
          <w:color w:val="1F4E79"/>
          <w:sz w:val="32"/>
          <w:szCs w:val="32"/>
        </w:rPr>
        <w:t xml:space="preserve">4. Choix des prestataires</w:t>
      </w:r>
    </w:p>
    <w:p>
      <w:pPr>
        <w:spacing w:after="100" w:before="220"/>
      </w:pPr>
      <w:r>
        <w:rPr>
          <w:rFonts w:ascii="Calibri" w:cs="Calibri" w:eastAsia="Calibri" w:hAnsi="Calibri"/>
          <w:b/>
          <w:bCs/>
          <w:color w:val="E87722"/>
          <w:sz w:val="22"/>
          <w:szCs w:val="22"/>
        </w:rPr>
        <w:t xml:space="preserve">4.1. Critères de sélection</w:t>
      </w:r>
    </w:p>
    <w:p>
      <w:pPr>
        <w:pStyle w:val="ListParagraph"/>
        <w:numPr>
          <w:ilvl w:val="0"/>
          <w:numId w:val="2"/>
        </w:numPr>
        <w:spacing w:after="60" w:line="260"/>
      </w:pPr>
      <w:r>
        <w:rPr>
          <w:rFonts w:ascii="Calibri" w:cs="Calibri" w:eastAsia="Calibri" w:hAnsi="Calibri"/>
          <w:sz w:val="20"/>
          <w:szCs w:val="20"/>
        </w:rPr>
        <w:t xml:space="preserve">Traducteurs natifs de la langue cible.</w:t>
      </w:r>
    </w:p>
    <w:p>
      <w:pPr>
        <w:pStyle w:val="ListParagraph"/>
        <w:numPr>
          <w:ilvl w:val="0"/>
          <w:numId w:val="2"/>
        </w:numPr>
        <w:spacing w:after="60" w:line="260"/>
      </w:pPr>
      <w:r>
        <w:rPr>
          <w:rFonts w:ascii="Calibri" w:cs="Calibri" w:eastAsia="Calibri" w:hAnsi="Calibri"/>
          <w:sz w:val="20"/>
          <w:szCs w:val="20"/>
        </w:rPr>
        <w:t xml:space="preserve">Spécialisation tourisme idéale (vocabulaire spécifique).</w:t>
      </w:r>
    </w:p>
    <w:p>
      <w:pPr>
        <w:pStyle w:val="ListParagraph"/>
        <w:numPr>
          <w:ilvl w:val="0"/>
          <w:numId w:val="2"/>
        </w:numPr>
        <w:spacing w:after="60" w:line="260"/>
      </w:pPr>
      <w:r>
        <w:rPr>
          <w:rFonts w:ascii="Calibri" w:cs="Calibri" w:eastAsia="Calibri" w:hAnsi="Calibri"/>
          <w:sz w:val="20"/>
          <w:szCs w:val="20"/>
        </w:rPr>
        <w:t xml:space="preserve">Localisation Europe (cohérence Politique d'achats responsables).</w:t>
      </w:r>
    </w:p>
    <w:p>
      <w:pPr>
        <w:pStyle w:val="ListParagraph"/>
        <w:numPr>
          <w:ilvl w:val="0"/>
          <w:numId w:val="2"/>
        </w:numPr>
        <w:spacing w:after="60" w:line="260"/>
      </w:pPr>
      <w:r>
        <w:rPr>
          <w:rFonts w:ascii="Calibri" w:cs="Calibri" w:eastAsia="Calibri" w:hAnsi="Calibri"/>
          <w:sz w:val="20"/>
          <w:szCs w:val="20"/>
        </w:rPr>
        <w:t xml:space="preserve">Engagement RSE (cohérence Politique RSE).</w:t>
      </w:r>
    </w:p>
    <w:p>
      <w:pPr>
        <w:pStyle w:val="ListParagraph"/>
        <w:numPr>
          <w:ilvl w:val="0"/>
          <w:numId w:val="2"/>
        </w:numPr>
        <w:spacing w:after="60" w:line="260"/>
      </w:pPr>
      <w:r>
        <w:rPr>
          <w:rFonts w:ascii="Calibri" w:cs="Calibri" w:eastAsia="Calibri" w:hAnsi="Calibri"/>
          <w:sz w:val="20"/>
          <w:szCs w:val="20"/>
        </w:rPr>
        <w:t xml:space="preserve">Outils utilisés (refus traduction automatique non révisée).</w:t>
      </w:r>
    </w:p>
    <w:p>
      <w:pPr>
        <w:spacing w:after="100" w:before="220"/>
      </w:pPr>
      <w:r>
        <w:rPr>
          <w:rFonts w:ascii="Calibri" w:cs="Calibri" w:eastAsia="Calibri" w:hAnsi="Calibri"/>
          <w:b/>
          <w:bCs/>
          <w:color w:val="E87722"/>
          <w:sz w:val="22"/>
          <w:szCs w:val="22"/>
        </w:rPr>
        <w:t xml:space="preserve">4.2. Refus de prestataires</w:t>
      </w:r>
    </w:p>
    <w:p>
      <w:pPr>
        <w:pStyle w:val="ListParagraph"/>
        <w:numPr>
          <w:ilvl w:val="0"/>
          <w:numId w:val="2"/>
        </w:numPr>
        <w:spacing w:after="60" w:line="260"/>
      </w:pPr>
      <w:r>
        <w:rPr>
          <w:rFonts w:ascii="Calibri" w:cs="Calibri" w:eastAsia="Calibri" w:hAnsi="Calibri"/>
          <w:sz w:val="20"/>
          <w:szCs w:val="20"/>
        </w:rPr>
        <w:t xml:space="preserve">Refus des plateformes de crowdsourcing (Gengo, Unbabel) sans validation humaine native.</w:t>
      </w:r>
    </w:p>
    <w:p>
      <w:pPr>
        <w:pStyle w:val="ListParagraph"/>
        <w:numPr>
          <w:ilvl w:val="0"/>
          <w:numId w:val="2"/>
        </w:numPr>
        <w:spacing w:after="60" w:line="260"/>
      </w:pPr>
      <w:r>
        <w:rPr>
          <w:rFonts w:ascii="Calibri" w:cs="Calibri" w:eastAsia="Calibri" w:hAnsi="Calibri"/>
          <w:sz w:val="20"/>
          <w:szCs w:val="20"/>
        </w:rPr>
        <w:t xml:space="preserve">Refus des prestataires utilisant uniquement de la post-édition machine non révisée.</w:t>
      </w:r>
    </w:p>
    <w:p>
      <w:pPr>
        <w:pStyle w:val="ListParagraph"/>
        <w:numPr>
          <w:ilvl w:val="0"/>
          <w:numId w:val="2"/>
        </w:numPr>
        <w:spacing w:after="60" w:line="260"/>
      </w:pPr>
      <w:r>
        <w:rPr>
          <w:rFonts w:ascii="Calibri" w:cs="Calibri" w:eastAsia="Calibri" w:hAnsi="Calibri"/>
          <w:sz w:val="20"/>
          <w:szCs w:val="20"/>
        </w:rPr>
        <w:t xml:space="preserve">Refus des prestataires offshore extractifs (cohérence Politique make/buy).</w:t>
      </w:r>
    </w:p>
    <w:p>
      <w:pPr>
        <w:spacing w:after="100" w:before="220"/>
      </w:pPr>
      <w:r>
        <w:rPr>
          <w:rFonts w:ascii="Calibri" w:cs="Calibri" w:eastAsia="Calibri" w:hAnsi="Calibri"/>
          <w:b/>
          <w:bCs/>
          <w:color w:val="E87722"/>
          <w:sz w:val="22"/>
          <w:szCs w:val="22"/>
        </w:rPr>
        <w:t xml:space="preserve">4.3. Modalités contractuelles</w:t>
      </w:r>
    </w:p>
    <w:p>
      <w:pPr>
        <w:pStyle w:val="ListParagraph"/>
        <w:numPr>
          <w:ilvl w:val="0"/>
          <w:numId w:val="2"/>
        </w:numPr>
        <w:spacing w:after="60" w:line="260"/>
      </w:pPr>
      <w:r>
        <w:rPr>
          <w:rFonts w:ascii="Calibri" w:cs="Calibri" w:eastAsia="Calibri" w:hAnsi="Calibri"/>
          <w:sz w:val="20"/>
          <w:szCs w:val="20"/>
        </w:rPr>
        <w:t xml:space="preserve">Contrat-cadre par langue.</w:t>
      </w:r>
    </w:p>
    <w:p>
      <w:pPr>
        <w:pStyle w:val="ListParagraph"/>
        <w:numPr>
          <w:ilvl w:val="0"/>
          <w:numId w:val="2"/>
        </w:numPr>
        <w:spacing w:after="60" w:line="260"/>
      </w:pPr>
      <w:r>
        <w:rPr>
          <w:rFonts w:ascii="Calibri" w:cs="Calibri" w:eastAsia="Calibri" w:hAnsi="Calibri"/>
          <w:sz w:val="20"/>
          <w:szCs w:val="20"/>
        </w:rPr>
        <w:t xml:space="preserve">Tarification transparente (mot ou caractère).</w:t>
      </w:r>
    </w:p>
    <w:p>
      <w:pPr>
        <w:pStyle w:val="ListParagraph"/>
        <w:numPr>
          <w:ilvl w:val="0"/>
          <w:numId w:val="2"/>
        </w:numPr>
        <w:spacing w:after="60" w:line="260"/>
      </w:pPr>
      <w:r>
        <w:rPr>
          <w:rFonts w:ascii="Calibri" w:cs="Calibri" w:eastAsia="Calibri" w:hAnsi="Calibri"/>
          <w:sz w:val="20"/>
          <w:szCs w:val="20"/>
        </w:rPr>
        <w:t xml:space="preserve">Délais clairs (urgence vs standard).</w:t>
      </w:r>
    </w:p>
    <w:p>
      <w:pPr>
        <w:pStyle w:val="ListParagraph"/>
        <w:numPr>
          <w:ilvl w:val="0"/>
          <w:numId w:val="2"/>
        </w:numPr>
        <w:spacing w:after="60" w:line="260"/>
      </w:pPr>
      <w:r>
        <w:rPr>
          <w:rFonts w:ascii="Calibri" w:cs="Calibri" w:eastAsia="Calibri" w:hAnsi="Calibri"/>
          <w:sz w:val="20"/>
          <w:szCs w:val="20"/>
        </w:rPr>
        <w:t xml:space="preserve">Confidentialité (NDA).</w:t>
      </w:r>
    </w:p>
    <w:p>
      <w:pPr>
        <w:pStyle w:val="ListParagraph"/>
        <w:numPr>
          <w:ilvl w:val="0"/>
          <w:numId w:val="2"/>
        </w:numPr>
        <w:spacing w:after="60" w:line="260"/>
      </w:pPr>
      <w:r>
        <w:rPr>
          <w:rFonts w:ascii="Calibri" w:cs="Calibri" w:eastAsia="Calibri" w:hAnsi="Calibri"/>
          <w:sz w:val="20"/>
          <w:szCs w:val="20"/>
        </w:rPr>
        <w:t xml:space="preserve">Cohérence avec Politique d'achats responsables.</w:t>
      </w:r>
    </w:p>
    <w:p>
      <w:pPr>
        <w:spacing w:after="160" w:before="240"/>
      </w:pPr>
      <w:r>
        <w:rPr>
          <w:rFonts w:ascii="Calibri" w:cs="Calibri" w:eastAsia="Calibri" w:hAnsi="Calibri"/>
          <w:b/>
          <w:bCs/>
          <w:color w:val="1F4E79"/>
          <w:sz w:val="32"/>
          <w:szCs w:val="32"/>
        </w:rPr>
        <w:t xml:space="preserve">5. Processus de traduction</w:t>
      </w:r>
    </w:p>
    <w:p>
      <w:pPr>
        <w:spacing w:after="100" w:before="220"/>
      </w:pPr>
      <w:r>
        <w:rPr>
          <w:rFonts w:ascii="Calibri" w:cs="Calibri" w:eastAsia="Calibri" w:hAnsi="Calibri"/>
          <w:b/>
          <w:bCs/>
          <w:color w:val="E87722"/>
          <w:sz w:val="22"/>
          <w:szCs w:val="22"/>
        </w:rPr>
        <w:t xml:space="preserve">5.1. Phase 1 — Brief</w:t>
      </w:r>
    </w:p>
    <w:p>
      <w:pPr>
        <w:pStyle w:val="ListParagraph"/>
        <w:numPr>
          <w:ilvl w:val="0"/>
          <w:numId w:val="2"/>
        </w:numPr>
        <w:spacing w:after="60" w:line="260"/>
      </w:pPr>
      <w:r>
        <w:rPr>
          <w:rFonts w:ascii="Calibri" w:cs="Calibri" w:eastAsia="Calibri" w:hAnsi="Calibri"/>
          <w:sz w:val="20"/>
          <w:szCs w:val="20"/>
        </w:rPr>
        <w:t xml:space="preserve">Document source finalisé en français.</w:t>
      </w:r>
    </w:p>
    <w:p>
      <w:pPr>
        <w:pStyle w:val="ListParagraph"/>
        <w:numPr>
          <w:ilvl w:val="0"/>
          <w:numId w:val="2"/>
        </w:numPr>
        <w:spacing w:after="60" w:line="260"/>
      </w:pPr>
      <w:r>
        <w:rPr>
          <w:rFonts w:ascii="Calibri" w:cs="Calibri" w:eastAsia="Calibri" w:hAnsi="Calibri"/>
          <w:sz w:val="20"/>
          <w:szCs w:val="20"/>
        </w:rPr>
        <w:t xml:space="preserve">Glossaire Eventy fourni (cohérence Glossaire voyage).</w:t>
      </w:r>
    </w:p>
    <w:p>
      <w:pPr>
        <w:pStyle w:val="ListParagraph"/>
        <w:numPr>
          <w:ilvl w:val="0"/>
          <w:numId w:val="2"/>
        </w:numPr>
        <w:spacing w:after="60" w:line="260"/>
      </w:pPr>
      <w:r>
        <w:rPr>
          <w:rFonts w:ascii="Calibri" w:cs="Calibri" w:eastAsia="Calibri" w:hAnsi="Calibri"/>
          <w:sz w:val="20"/>
          <w:szCs w:val="20"/>
        </w:rPr>
        <w:t xml:space="preserve">Charte éditoriale Eventy fournie.</w:t>
      </w:r>
    </w:p>
    <w:p>
      <w:pPr>
        <w:pStyle w:val="ListParagraph"/>
        <w:numPr>
          <w:ilvl w:val="0"/>
          <w:numId w:val="2"/>
        </w:numPr>
        <w:spacing w:after="60" w:line="260"/>
      </w:pPr>
      <w:r>
        <w:rPr>
          <w:rFonts w:ascii="Calibri" w:cs="Calibri" w:eastAsia="Calibri" w:hAnsi="Calibri"/>
          <w:sz w:val="20"/>
          <w:szCs w:val="20"/>
        </w:rPr>
        <w:t xml:space="preserve">Cible et contexte précisés.</w:t>
      </w:r>
    </w:p>
    <w:p>
      <w:pPr>
        <w:spacing w:after="100" w:before="220"/>
      </w:pPr>
      <w:r>
        <w:rPr>
          <w:rFonts w:ascii="Calibri" w:cs="Calibri" w:eastAsia="Calibri" w:hAnsi="Calibri"/>
          <w:b/>
          <w:bCs/>
          <w:color w:val="E87722"/>
          <w:sz w:val="22"/>
          <w:szCs w:val="22"/>
        </w:rPr>
        <w:t xml:space="preserve">5.2. Phase 2 — Traduction</w:t>
      </w:r>
    </w:p>
    <w:p>
      <w:pPr>
        <w:pStyle w:val="ListParagraph"/>
        <w:numPr>
          <w:ilvl w:val="0"/>
          <w:numId w:val="2"/>
        </w:numPr>
        <w:spacing w:after="60" w:line="260"/>
      </w:pPr>
      <w:r>
        <w:rPr>
          <w:rFonts w:ascii="Calibri" w:cs="Calibri" w:eastAsia="Calibri" w:hAnsi="Calibri"/>
          <w:sz w:val="20"/>
          <w:szCs w:val="20"/>
        </w:rPr>
        <w:t xml:space="preserve">Traducteur humain natif de la langue cible.</w:t>
      </w:r>
    </w:p>
    <w:p>
      <w:pPr>
        <w:pStyle w:val="ListParagraph"/>
        <w:numPr>
          <w:ilvl w:val="0"/>
          <w:numId w:val="2"/>
        </w:numPr>
        <w:spacing w:after="60" w:line="260"/>
      </w:pPr>
      <w:r>
        <w:rPr>
          <w:rFonts w:ascii="Calibri" w:cs="Calibri" w:eastAsia="Calibri" w:hAnsi="Calibri"/>
          <w:sz w:val="20"/>
          <w:szCs w:val="20"/>
        </w:rPr>
        <w:t xml:space="preserve">Délai standard : 7 j ouvrés pour 5 000 mots.</w:t>
      </w:r>
    </w:p>
    <w:p>
      <w:pPr>
        <w:pStyle w:val="ListParagraph"/>
        <w:numPr>
          <w:ilvl w:val="0"/>
          <w:numId w:val="2"/>
        </w:numPr>
        <w:spacing w:after="60" w:line="260"/>
      </w:pPr>
      <w:r>
        <w:rPr>
          <w:rFonts w:ascii="Calibri" w:cs="Calibri" w:eastAsia="Calibri" w:hAnsi="Calibri"/>
          <w:sz w:val="20"/>
          <w:szCs w:val="20"/>
        </w:rPr>
        <w:t xml:space="preserve">Communication possible avec Eventy en cas de doute.</w:t>
      </w:r>
    </w:p>
    <w:p>
      <w:pPr>
        <w:spacing w:after="100" w:before="220"/>
      </w:pPr>
      <w:r>
        <w:rPr>
          <w:rFonts w:ascii="Calibri" w:cs="Calibri" w:eastAsia="Calibri" w:hAnsi="Calibri"/>
          <w:b/>
          <w:bCs/>
          <w:color w:val="E87722"/>
          <w:sz w:val="22"/>
          <w:szCs w:val="22"/>
        </w:rPr>
        <w:t xml:space="preserve">5.3. Phase 3 — Relecture (3-eyes principle)</w:t>
      </w:r>
    </w:p>
    <w:p>
      <w:pPr>
        <w:pStyle w:val="ListParagraph"/>
        <w:numPr>
          <w:ilvl w:val="0"/>
          <w:numId w:val="2"/>
        </w:numPr>
        <w:spacing w:after="60" w:line="260"/>
      </w:pPr>
      <w:r>
        <w:rPr>
          <w:rFonts w:ascii="Calibri" w:cs="Calibri" w:eastAsia="Calibri" w:hAnsi="Calibri"/>
          <w:sz w:val="20"/>
          <w:szCs w:val="20"/>
        </w:rPr>
        <w:t xml:space="preserve">Premier traducteur fait la traduction.</w:t>
      </w:r>
    </w:p>
    <w:p>
      <w:pPr>
        <w:pStyle w:val="ListParagraph"/>
        <w:numPr>
          <w:ilvl w:val="0"/>
          <w:numId w:val="2"/>
        </w:numPr>
        <w:spacing w:after="60" w:line="260"/>
      </w:pPr>
      <w:r>
        <w:rPr>
          <w:rFonts w:ascii="Calibri" w:cs="Calibri" w:eastAsia="Calibri" w:hAnsi="Calibri"/>
          <w:sz w:val="20"/>
          <w:szCs w:val="20"/>
        </w:rPr>
        <w:t xml:space="preserve">Second relecteur natif fait la relecture qualité.</w:t>
      </w:r>
    </w:p>
    <w:p>
      <w:pPr>
        <w:pStyle w:val="ListParagraph"/>
        <w:numPr>
          <w:ilvl w:val="0"/>
          <w:numId w:val="2"/>
        </w:numPr>
        <w:spacing w:after="60" w:line="260"/>
      </w:pPr>
      <w:r>
        <w:rPr>
          <w:rFonts w:ascii="Calibri" w:cs="Calibri" w:eastAsia="Calibri" w:hAnsi="Calibri"/>
          <w:sz w:val="20"/>
          <w:szCs w:val="20"/>
        </w:rPr>
        <w:t xml:space="preserve">Validation finale Eventy (référent multilingue).</w:t>
      </w:r>
    </w:p>
    <w:p>
      <w:pPr>
        <w:spacing w:after="100" w:before="220"/>
      </w:pPr>
      <w:r>
        <w:rPr>
          <w:rFonts w:ascii="Calibri" w:cs="Calibri" w:eastAsia="Calibri" w:hAnsi="Calibri"/>
          <w:b/>
          <w:bCs/>
          <w:color w:val="E87722"/>
          <w:sz w:val="22"/>
          <w:szCs w:val="22"/>
        </w:rPr>
        <w:t xml:space="preserve">5.4. Phase 4 — Adaptation culturelle</w:t>
      </w:r>
    </w:p>
    <w:p>
      <w:pPr>
        <w:pStyle w:val="ListParagraph"/>
        <w:numPr>
          <w:ilvl w:val="0"/>
          <w:numId w:val="2"/>
        </w:numPr>
        <w:spacing w:after="60" w:line="260"/>
      </w:pPr>
      <w:r>
        <w:rPr>
          <w:rFonts w:ascii="Calibri" w:cs="Calibri" w:eastAsia="Calibri" w:hAnsi="Calibri"/>
          <w:sz w:val="20"/>
          <w:szCs w:val="20"/>
        </w:rPr>
        <w:t xml:space="preserve">Vérification des références culturelles (exemples, dates, devises).</w:t>
      </w:r>
    </w:p>
    <w:p>
      <w:pPr>
        <w:pStyle w:val="ListParagraph"/>
        <w:numPr>
          <w:ilvl w:val="0"/>
          <w:numId w:val="2"/>
        </w:numPr>
        <w:spacing w:after="60" w:line="260"/>
      </w:pPr>
      <w:r>
        <w:rPr>
          <w:rFonts w:ascii="Calibri" w:cs="Calibri" w:eastAsia="Calibri" w:hAnsi="Calibri"/>
          <w:sz w:val="20"/>
          <w:szCs w:val="20"/>
        </w:rPr>
        <w:t xml:space="preserve">Adaptation des images si nécessaire.</w:t>
      </w:r>
    </w:p>
    <w:p>
      <w:pPr>
        <w:pStyle w:val="ListParagraph"/>
        <w:numPr>
          <w:ilvl w:val="0"/>
          <w:numId w:val="2"/>
        </w:numPr>
        <w:spacing w:after="60" w:line="260"/>
      </w:pPr>
      <w:r>
        <w:rPr>
          <w:rFonts w:ascii="Calibri" w:cs="Calibri" w:eastAsia="Calibri" w:hAnsi="Calibri"/>
          <w:sz w:val="20"/>
          <w:szCs w:val="20"/>
        </w:rPr>
        <w:t xml:space="preserve">Vérification des conventions locales (formats, ponctuation).</w:t>
      </w:r>
    </w:p>
    <w:p>
      <w:pPr>
        <w:spacing w:after="100" w:before="220"/>
      </w:pPr>
      <w:r>
        <w:rPr>
          <w:rFonts w:ascii="Calibri" w:cs="Calibri" w:eastAsia="Calibri" w:hAnsi="Calibri"/>
          <w:b/>
          <w:bCs/>
          <w:color w:val="E87722"/>
          <w:sz w:val="22"/>
          <w:szCs w:val="22"/>
        </w:rPr>
        <w:t xml:space="preserve">5.5. Phase 5 — Mise en ligne et maintenance</w:t>
      </w:r>
    </w:p>
    <w:p>
      <w:pPr>
        <w:pStyle w:val="ListParagraph"/>
        <w:numPr>
          <w:ilvl w:val="0"/>
          <w:numId w:val="2"/>
        </w:numPr>
        <w:spacing w:after="60" w:line="260"/>
      </w:pPr>
      <w:r>
        <w:rPr>
          <w:rFonts w:ascii="Calibri" w:cs="Calibri" w:eastAsia="Calibri" w:hAnsi="Calibri"/>
          <w:sz w:val="20"/>
          <w:szCs w:val="20"/>
        </w:rPr>
        <w:t xml:space="preserve">Intégration dans la plateforme (cohérence Roadmap technique).</w:t>
      </w:r>
    </w:p>
    <w:p>
      <w:pPr>
        <w:pStyle w:val="ListParagraph"/>
        <w:numPr>
          <w:ilvl w:val="0"/>
          <w:numId w:val="2"/>
        </w:numPr>
        <w:spacing w:after="60" w:line="260"/>
      </w:pPr>
      <w:r>
        <w:rPr>
          <w:rFonts w:ascii="Calibri" w:cs="Calibri" w:eastAsia="Calibri" w:hAnsi="Calibri"/>
          <w:sz w:val="20"/>
          <w:szCs w:val="20"/>
        </w:rPr>
        <w:t xml:space="preserve">Tests de rendu et qualité.</w:t>
      </w:r>
    </w:p>
    <w:p>
      <w:pPr>
        <w:pStyle w:val="ListParagraph"/>
        <w:numPr>
          <w:ilvl w:val="0"/>
          <w:numId w:val="2"/>
        </w:numPr>
        <w:spacing w:after="60" w:line="260"/>
      </w:pPr>
      <w:r>
        <w:rPr>
          <w:rFonts w:ascii="Calibri" w:cs="Calibri" w:eastAsia="Calibri" w:hAnsi="Calibri"/>
          <w:sz w:val="20"/>
          <w:szCs w:val="20"/>
        </w:rPr>
        <w:t xml:space="preserve">Mise à jour synchronisée avec la version FR de référence.</w:t>
      </w:r>
    </w:p>
    <w:p>
      <w:pPr>
        <w:spacing w:after="160" w:before="240"/>
      </w:pPr>
      <w:r>
        <w:rPr>
          <w:rFonts w:ascii="Calibri" w:cs="Calibri" w:eastAsia="Calibri" w:hAnsi="Calibri"/>
          <w:b/>
          <w:bCs/>
          <w:color w:val="1F4E79"/>
          <w:sz w:val="32"/>
          <w:szCs w:val="32"/>
        </w:rPr>
        <w:t xml:space="preserve">6. Glossaire multilingue Eventy</w:t>
      </w:r>
    </w:p>
    <w:p>
      <w:pPr>
        <w:pStyle w:val="ListParagraph"/>
        <w:numPr>
          <w:ilvl w:val="0"/>
          <w:numId w:val="2"/>
        </w:numPr>
        <w:spacing w:after="60" w:line="260"/>
      </w:pPr>
      <w:r>
        <w:rPr>
          <w:rFonts w:ascii="Calibri" w:cs="Calibri" w:eastAsia="Calibri" w:hAnsi="Calibri"/>
          <w:sz w:val="20"/>
          <w:szCs w:val="20"/>
        </w:rPr>
        <w:t xml:space="preserve">Glossaire de référence par langue (à constituer pour chaque déploiement).</w:t>
      </w:r>
    </w:p>
    <w:p>
      <w:pPr>
        <w:pStyle w:val="ListParagraph"/>
        <w:numPr>
          <w:ilvl w:val="0"/>
          <w:numId w:val="2"/>
        </w:numPr>
        <w:spacing w:after="60" w:line="260"/>
      </w:pPr>
      <w:r>
        <w:rPr>
          <w:rFonts w:ascii="Calibri" w:cs="Calibri" w:eastAsia="Calibri" w:hAnsi="Calibri"/>
          <w:sz w:val="20"/>
          <w:szCs w:val="20"/>
        </w:rPr>
        <w:t xml:space="preserve">Termes Eventy non traduits (« Pack Sérénité », « Eventy Famille » conservés).</w:t>
      </w:r>
    </w:p>
    <w:p>
      <w:pPr>
        <w:pStyle w:val="ListParagraph"/>
        <w:numPr>
          <w:ilvl w:val="0"/>
          <w:numId w:val="2"/>
        </w:numPr>
        <w:spacing w:after="60" w:line="260"/>
      </w:pPr>
      <w:r>
        <w:rPr>
          <w:rFonts w:ascii="Calibri" w:cs="Calibri" w:eastAsia="Calibri" w:hAnsi="Calibri"/>
          <w:sz w:val="20"/>
          <w:szCs w:val="20"/>
        </w:rPr>
        <w:t xml:space="preserve">Termes traduits (« voyageur » → « traveler », « viajero », etc.).</w:t>
      </w:r>
    </w:p>
    <w:p>
      <w:pPr>
        <w:pStyle w:val="ListParagraph"/>
        <w:numPr>
          <w:ilvl w:val="0"/>
          <w:numId w:val="2"/>
        </w:numPr>
        <w:spacing w:after="60" w:line="260"/>
      </w:pPr>
      <w:r>
        <w:rPr>
          <w:rFonts w:ascii="Calibri" w:cs="Calibri" w:eastAsia="Calibri" w:hAnsi="Calibri"/>
          <w:sz w:val="20"/>
          <w:szCs w:val="20"/>
        </w:rPr>
        <w:t xml:space="preserve">Cohérence avec Glossaire voyage.</w:t>
      </w:r>
    </w:p>
    <w:p>
      <w:pPr>
        <w:spacing w:after="160" w:before="240"/>
      </w:pPr>
      <w:r>
        <w:rPr>
          <w:rFonts w:ascii="Calibri" w:cs="Calibri" w:eastAsia="Calibri" w:hAnsi="Calibri"/>
          <w:b/>
          <w:bCs/>
          <w:color w:val="1F4E79"/>
          <w:sz w:val="32"/>
          <w:szCs w:val="32"/>
        </w:rPr>
        <w:t xml:space="preserve">7.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Langues actives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 + EN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langues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contenu Niveau 1 traduit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contenu Niveau 2 traduit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mise à jour multilingue (vs FR)</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14 j</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qualité traduction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qualité externe annuel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bl>
    <w:p>
      <w:pPr>
        <w:spacing w:after="160" w:before="240"/>
      </w:pPr>
      <w:r>
        <w:rPr>
          <w:rFonts w:ascii="Calibri" w:cs="Calibri" w:eastAsia="Calibri" w:hAnsi="Calibri"/>
          <w:b/>
          <w:bCs/>
          <w:color w:val="1F4E79"/>
          <w:sz w:val="32"/>
          <w:szCs w:val="32"/>
        </w:rPr>
        <w:t xml:space="preserve">8. Engagements éthiques</w:t>
      </w:r>
    </w:p>
    <w:p>
      <w:pPr>
        <w:pStyle w:val="ListParagraph"/>
        <w:numPr>
          <w:ilvl w:val="0"/>
          <w:numId w:val="2"/>
        </w:numPr>
        <w:spacing w:after="60" w:line="260"/>
      </w:pPr>
      <w:r>
        <w:rPr>
          <w:rFonts w:ascii="Calibri" w:cs="Calibri" w:eastAsia="Calibri" w:hAnsi="Calibri"/>
          <w:sz w:val="20"/>
          <w:szCs w:val="20"/>
        </w:rPr>
        <w:t xml:space="preserve">Refus de la traduction symbolique (annonce sans réalité).</w:t>
      </w:r>
    </w:p>
    <w:p>
      <w:pPr>
        <w:pStyle w:val="ListParagraph"/>
        <w:numPr>
          <w:ilvl w:val="0"/>
          <w:numId w:val="2"/>
        </w:numPr>
        <w:spacing w:after="60" w:line="260"/>
      </w:pPr>
      <w:r>
        <w:rPr>
          <w:rFonts w:ascii="Calibri" w:cs="Calibri" w:eastAsia="Calibri" w:hAnsi="Calibri"/>
          <w:sz w:val="20"/>
          <w:szCs w:val="20"/>
        </w:rPr>
        <w:t xml:space="preserve">Refus du multilinguisme low-cost dégradé.</w:t>
      </w:r>
    </w:p>
    <w:p>
      <w:pPr>
        <w:pStyle w:val="ListParagraph"/>
        <w:numPr>
          <w:ilvl w:val="0"/>
          <w:numId w:val="2"/>
        </w:numPr>
        <w:spacing w:after="60" w:line="260"/>
      </w:pPr>
      <w:r>
        <w:rPr>
          <w:rFonts w:ascii="Calibri" w:cs="Calibri" w:eastAsia="Calibri" w:hAnsi="Calibri"/>
          <w:sz w:val="20"/>
          <w:szCs w:val="20"/>
        </w:rPr>
        <w:t xml:space="preserve">Engagement à payer juste les traducteurs.</w:t>
      </w:r>
    </w:p>
    <w:p>
      <w:pPr>
        <w:pStyle w:val="ListParagraph"/>
        <w:numPr>
          <w:ilvl w:val="0"/>
          <w:numId w:val="2"/>
        </w:numPr>
        <w:spacing w:after="60" w:line="260"/>
      </w:pPr>
      <w:r>
        <w:rPr>
          <w:rFonts w:ascii="Calibri" w:cs="Calibri" w:eastAsia="Calibri" w:hAnsi="Calibri"/>
          <w:sz w:val="20"/>
          <w:szCs w:val="20"/>
        </w:rPr>
        <w:t xml:space="preserve">Engagement à utiliser des outils EU pour les outils de traduction assistée (DeepL préféré à Google Translate).</w:t>
      </w:r>
    </w:p>
    <w:p>
      <w:pPr>
        <w:pStyle w:val="ListParagraph"/>
        <w:numPr>
          <w:ilvl w:val="0"/>
          <w:numId w:val="2"/>
        </w:numPr>
        <w:spacing w:after="60" w:line="260"/>
      </w:pPr>
      <w:r>
        <w:rPr>
          <w:rFonts w:ascii="Calibri" w:cs="Calibri" w:eastAsia="Calibri" w:hAnsi="Calibri"/>
          <w:sz w:val="20"/>
          <w:szCs w:val="20"/>
        </w:rPr>
        <w:t xml:space="preserve">Engagement à valider chaque traduction par un humain natif.</w:t>
      </w:r>
    </w:p>
    <w:p>
      <w:pPr>
        <w:pStyle w:val="ListParagraph"/>
        <w:numPr>
          <w:ilvl w:val="0"/>
          <w:numId w:val="2"/>
        </w:numPr>
        <w:spacing w:after="60" w:line="260"/>
      </w:pPr>
      <w:r>
        <w:rPr>
          <w:rFonts w:ascii="Calibri" w:cs="Calibri" w:eastAsia="Calibri" w:hAnsi="Calibri"/>
          <w:sz w:val="20"/>
          <w:szCs w:val="20"/>
        </w:rPr>
        <w:t xml:space="preserve">Engagement à maintenir la cohérence avec l'âme Eventy.</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Plan d'expansion internationale, Roadmap technique, Charte éditoriale, Charte d'inclusion et diversité, Politique d'achats responsables, Politique make/buy, CGV, Glossaire voyage, Politique RGPD.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langues et traduction</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gestion des langues et traduction</dc:title>
  <dc:creator>David Eventy — Eventy Life SAS</dc:creator>
  <dc:description>Qualité multilingue Eventy pour expansion européenne.</dc:description>
  <cp:lastModifiedBy>Un-named</cp:lastModifiedBy>
  <cp:revision>1</cp:revision>
  <dcterms:created xsi:type="dcterms:W3CDTF">2026-05-02T05:07:50.437Z</dcterms:created>
  <dcterms:modified xsi:type="dcterms:W3CDTF">2026-05-02T05:07:50.437Z</dcterms:modified>
</cp:coreProperties>
</file>

<file path=docProps/custom.xml><?xml version="1.0" encoding="utf-8"?>
<Properties xmlns="http://schemas.openxmlformats.org/officeDocument/2006/custom-properties" xmlns:vt="http://schemas.openxmlformats.org/officeDocument/2006/docPropsVTypes"/>
</file>