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OPEN SOURCE ET PROPRIÉTÉ INTELLECTUELLE</w:t>
            </w:r>
          </w:p>
          <w:p>
            <w:pPr>
              <w:spacing w:after="0"/>
              <w:jc w:val="center"/>
            </w:pPr>
            <w:r>
              <w:rPr>
                <w:rFonts w:ascii="Calibri" w:cs="Calibri" w:eastAsia="Calibri" w:hAnsi="Calibri"/>
                <w:i/>
                <w:iCs/>
                <w:color w:val="1F4E79"/>
                <w:sz w:val="18"/>
                <w:szCs w:val="18"/>
              </w:rPr>
              <w:t xml:space="preserve">Engagement open source, gestion de la PI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la position d'EVENTY LIFE SAS sur l'open source et la gestion de sa propriété intellectuelle. Elle complète la Roadmap technique (volet stratégie tech), la Politique cybersécurité et la Politique d'achats responsables. Elle est cohérente avec les valeurs Eventy de souveraineté numérique et de transparence.</w:t>
      </w:r>
    </w:p>
    <w:p>
      <w:pPr>
        <w:spacing w:after="100" w:line="280"/>
        <w:jc w:val="both"/>
      </w:pPr>
      <w:r>
        <w:rPr>
          <w:rFonts w:ascii="Calibri" w:cs="Calibri" w:eastAsia="Calibri" w:hAnsi="Calibri"/>
          <w:i/>
          <w:iCs/>
          <w:color w:val="1A1A1A"/>
          <w:sz w:val="20"/>
          <w:szCs w:val="20"/>
        </w:rPr>
        <w:t xml:space="preserve">Eventy se construit sur des briques open source et entend rendre cet engagement réciproque : contribuer à l'écosystème, ouvrir progressivement les modules non stratégiques, refuser le brevetage défensif. Notre PI est un outil au service du voyageur, pas un fossé compétitif.</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Code de la propriété intellectuelle (livres I et II).</w:t>
      </w:r>
    </w:p>
    <w:p>
      <w:pPr>
        <w:pStyle w:val="ListParagraph"/>
        <w:numPr>
          <w:ilvl w:val="0"/>
          <w:numId w:val="2"/>
        </w:numPr>
        <w:spacing w:after="60" w:line="260"/>
      </w:pPr>
      <w:r>
        <w:rPr>
          <w:rFonts w:ascii="Calibri" w:cs="Calibri" w:eastAsia="Calibri" w:hAnsi="Calibri"/>
          <w:sz w:val="20"/>
          <w:szCs w:val="20"/>
        </w:rPr>
        <w:t xml:space="preserve">Licences open source standard (MIT, Apache 2.0, GPL, AGPL, etc.).</w:t>
      </w:r>
    </w:p>
    <w:p>
      <w:pPr>
        <w:pStyle w:val="ListParagraph"/>
        <w:numPr>
          <w:ilvl w:val="0"/>
          <w:numId w:val="2"/>
        </w:numPr>
        <w:spacing w:after="60" w:line="260"/>
      </w:pPr>
      <w:r>
        <w:rPr>
          <w:rFonts w:ascii="Calibri" w:cs="Calibri" w:eastAsia="Calibri" w:hAnsi="Calibri"/>
          <w:sz w:val="20"/>
          <w:szCs w:val="20"/>
        </w:rPr>
        <w:t xml:space="preserve">Open Source Initiative (OSI).</w:t>
      </w:r>
    </w:p>
    <w:p>
      <w:pPr>
        <w:pStyle w:val="ListParagraph"/>
        <w:numPr>
          <w:ilvl w:val="0"/>
          <w:numId w:val="2"/>
        </w:numPr>
        <w:spacing w:after="60" w:line="260"/>
      </w:pPr>
      <w:r>
        <w:rPr>
          <w:rFonts w:ascii="Calibri" w:cs="Calibri" w:eastAsia="Calibri" w:hAnsi="Calibri"/>
          <w:sz w:val="20"/>
          <w:szCs w:val="20"/>
        </w:rPr>
        <w:t xml:space="preserve">Définition open source FSF (Free Software Foundation).</w:t>
      </w:r>
    </w:p>
    <w:p>
      <w:pPr>
        <w:pStyle w:val="ListParagraph"/>
        <w:numPr>
          <w:ilvl w:val="0"/>
          <w:numId w:val="2"/>
        </w:numPr>
        <w:spacing w:after="60" w:line="260"/>
      </w:pPr>
      <w:r>
        <w:rPr>
          <w:rFonts w:ascii="Calibri" w:cs="Calibri" w:eastAsia="Calibri" w:hAnsi="Calibri"/>
          <w:sz w:val="20"/>
          <w:szCs w:val="20"/>
        </w:rPr>
        <w:t xml:space="preserve">Roadmap technique Eventy (cohérence).</w:t>
      </w:r>
    </w:p>
    <w:p>
      <w:pPr>
        <w:spacing w:after="160" w:before="240"/>
      </w:pPr>
      <w:r>
        <w:rPr>
          <w:rFonts w:ascii="Calibri" w:cs="Calibri" w:eastAsia="Calibri" w:hAnsi="Calibri"/>
          <w:b/>
          <w:bCs/>
          <w:color w:val="1F4E79"/>
          <w:sz w:val="32"/>
          <w:szCs w:val="32"/>
        </w:rPr>
        <w:t xml:space="preserve">2. Position Eventy sur l'open source</w:t>
      </w:r>
    </w:p>
    <w:p>
      <w:pPr>
        <w:spacing w:after="100" w:before="220"/>
      </w:pPr>
      <w:r>
        <w:rPr>
          <w:rFonts w:ascii="Calibri" w:cs="Calibri" w:eastAsia="Calibri" w:hAnsi="Calibri"/>
          <w:b/>
          <w:bCs/>
          <w:color w:val="E87722"/>
          <w:sz w:val="22"/>
          <w:szCs w:val="22"/>
        </w:rPr>
        <w:t xml:space="preserve">2.1. Cinq principes</w:t>
      </w:r>
    </w:p>
    <w:p>
      <w:pPr>
        <w:pStyle w:val="ListParagraph"/>
        <w:numPr>
          <w:ilvl w:val="0"/>
          <w:numId w:val="2"/>
        </w:numPr>
        <w:spacing w:after="60" w:line="260"/>
      </w:pPr>
      <w:r>
        <w:rPr>
          <w:rFonts w:ascii="Calibri" w:cs="Calibri" w:eastAsia="Calibri" w:hAnsi="Calibri"/>
          <w:sz w:val="20"/>
          <w:szCs w:val="20"/>
        </w:rPr>
        <w:t xml:space="preserve">Reconnaissance — l'écosystème open source est un bien commun mondial.</w:t>
      </w:r>
    </w:p>
    <w:p>
      <w:pPr>
        <w:pStyle w:val="ListParagraph"/>
        <w:numPr>
          <w:ilvl w:val="0"/>
          <w:numId w:val="2"/>
        </w:numPr>
        <w:spacing w:after="60" w:line="260"/>
      </w:pPr>
      <w:r>
        <w:rPr>
          <w:rFonts w:ascii="Calibri" w:cs="Calibri" w:eastAsia="Calibri" w:hAnsi="Calibri"/>
          <w:sz w:val="20"/>
          <w:szCs w:val="20"/>
        </w:rPr>
        <w:t xml:space="preserve">Réciprocité — recevoir et donner.</w:t>
      </w:r>
    </w:p>
    <w:p>
      <w:pPr>
        <w:pStyle w:val="ListParagraph"/>
        <w:numPr>
          <w:ilvl w:val="0"/>
          <w:numId w:val="2"/>
        </w:numPr>
        <w:spacing w:after="60" w:line="260"/>
      </w:pPr>
      <w:r>
        <w:rPr>
          <w:rFonts w:ascii="Calibri" w:cs="Calibri" w:eastAsia="Calibri" w:hAnsi="Calibri"/>
          <w:sz w:val="20"/>
          <w:szCs w:val="20"/>
        </w:rPr>
        <w:t xml:space="preserve">Transparence — refuser de cacher le code derrière du closed-source quand inutile.</w:t>
      </w:r>
    </w:p>
    <w:p>
      <w:pPr>
        <w:pStyle w:val="ListParagraph"/>
        <w:numPr>
          <w:ilvl w:val="0"/>
          <w:numId w:val="2"/>
        </w:numPr>
        <w:spacing w:after="60" w:line="260"/>
      </w:pPr>
      <w:r>
        <w:rPr>
          <w:rFonts w:ascii="Calibri" w:cs="Calibri" w:eastAsia="Calibri" w:hAnsi="Calibri"/>
          <w:sz w:val="20"/>
          <w:szCs w:val="20"/>
        </w:rPr>
        <w:t xml:space="preserve">Souveraineté — privilégier les outils open source européens.</w:t>
      </w:r>
    </w:p>
    <w:p>
      <w:pPr>
        <w:pStyle w:val="ListParagraph"/>
        <w:numPr>
          <w:ilvl w:val="0"/>
          <w:numId w:val="2"/>
        </w:numPr>
        <w:spacing w:after="60" w:line="260"/>
      </w:pPr>
      <w:r>
        <w:rPr>
          <w:rFonts w:ascii="Calibri" w:cs="Calibri" w:eastAsia="Calibri" w:hAnsi="Calibri"/>
          <w:sz w:val="20"/>
          <w:szCs w:val="20"/>
        </w:rPr>
        <w:t xml:space="preserve">Refus du double standard — ne pas exiger des autres ce qu'on ne fait pas.</w:t>
      </w:r>
    </w:p>
    <w:p>
      <w:pPr>
        <w:spacing w:after="100" w:before="220"/>
      </w:pPr>
      <w:r>
        <w:rPr>
          <w:rFonts w:ascii="Calibri" w:cs="Calibri" w:eastAsia="Calibri" w:hAnsi="Calibri"/>
          <w:b/>
          <w:bCs/>
          <w:color w:val="E87722"/>
          <w:sz w:val="22"/>
          <w:szCs w:val="22"/>
        </w:rPr>
        <w:t xml:space="preserve">2.2. Stack open source utilisé</w:t>
      </w:r>
    </w:p>
    <w:p>
      <w:pPr>
        <w:pStyle w:val="ListParagraph"/>
        <w:numPr>
          <w:ilvl w:val="0"/>
          <w:numId w:val="2"/>
        </w:numPr>
        <w:spacing w:after="60" w:line="260"/>
      </w:pPr>
      <w:r>
        <w:rPr>
          <w:rFonts w:ascii="Calibri" w:cs="Calibri" w:eastAsia="Calibri" w:hAnsi="Calibri"/>
          <w:sz w:val="20"/>
          <w:szCs w:val="20"/>
        </w:rPr>
        <w:t xml:space="preserve">Frontend : Next.js (MIT), React (MIT), TypeScript (Apache 2.0).</w:t>
      </w:r>
    </w:p>
    <w:p>
      <w:pPr>
        <w:pStyle w:val="ListParagraph"/>
        <w:numPr>
          <w:ilvl w:val="0"/>
          <w:numId w:val="2"/>
        </w:numPr>
        <w:spacing w:after="60" w:line="260"/>
      </w:pPr>
      <w:r>
        <w:rPr>
          <w:rFonts w:ascii="Calibri" w:cs="Calibri" w:eastAsia="Calibri" w:hAnsi="Calibri"/>
          <w:sz w:val="20"/>
          <w:szCs w:val="20"/>
        </w:rPr>
        <w:t xml:space="preserve">Backend : NestJS (MIT), TypeScript, Prisma (Apache 2.0).</w:t>
      </w:r>
    </w:p>
    <w:p>
      <w:pPr>
        <w:pStyle w:val="ListParagraph"/>
        <w:numPr>
          <w:ilvl w:val="0"/>
          <w:numId w:val="2"/>
        </w:numPr>
        <w:spacing w:after="60" w:line="260"/>
      </w:pPr>
      <w:r>
        <w:rPr>
          <w:rFonts w:ascii="Calibri" w:cs="Calibri" w:eastAsia="Calibri" w:hAnsi="Calibri"/>
          <w:sz w:val="20"/>
          <w:szCs w:val="20"/>
        </w:rPr>
        <w:t xml:space="preserve">Base de données : PostgreSQL (PostgreSQL License).</w:t>
      </w:r>
    </w:p>
    <w:p>
      <w:pPr>
        <w:pStyle w:val="ListParagraph"/>
        <w:numPr>
          <w:ilvl w:val="0"/>
          <w:numId w:val="2"/>
        </w:numPr>
        <w:spacing w:after="60" w:line="260"/>
      </w:pPr>
      <w:r>
        <w:rPr>
          <w:rFonts w:ascii="Calibri" w:cs="Calibri" w:eastAsia="Calibri" w:hAnsi="Calibri"/>
          <w:sz w:val="20"/>
          <w:szCs w:val="20"/>
        </w:rPr>
        <w:t xml:space="preserve">Outils dev : ESLint, Prettier, Jest, Vitest (tous MIT).</w:t>
      </w:r>
    </w:p>
    <w:p>
      <w:pPr>
        <w:pStyle w:val="ListParagraph"/>
        <w:numPr>
          <w:ilvl w:val="0"/>
          <w:numId w:val="2"/>
        </w:numPr>
        <w:spacing w:after="60" w:line="260"/>
      </w:pPr>
      <w:r>
        <w:rPr>
          <w:rFonts w:ascii="Calibri" w:cs="Calibri" w:eastAsia="Calibri" w:hAnsi="Calibri"/>
          <w:sz w:val="20"/>
          <w:szCs w:val="20"/>
        </w:rPr>
        <w:t xml:space="preserve">Infrastructure : Docker, Kubernetes (utilisé via Scaleway).</w:t>
      </w:r>
    </w:p>
    <w:p>
      <w:pPr>
        <w:spacing w:after="160" w:before="240"/>
      </w:pPr>
      <w:r>
        <w:rPr>
          <w:rFonts w:ascii="Calibri" w:cs="Calibri" w:eastAsia="Calibri" w:hAnsi="Calibri"/>
          <w:b/>
          <w:bCs/>
          <w:color w:val="1F4E79"/>
          <w:sz w:val="32"/>
          <w:szCs w:val="32"/>
        </w:rPr>
        <w:t xml:space="preserve">3. Contributions Eventy à l'open source</w:t>
      </w:r>
    </w:p>
    <w:p>
      <w:pPr>
        <w:spacing w:after="100" w:before="220"/>
      </w:pPr>
      <w:r>
        <w:rPr>
          <w:rFonts w:ascii="Calibri" w:cs="Calibri" w:eastAsia="Calibri" w:hAnsi="Calibri"/>
          <w:b/>
          <w:bCs/>
          <w:color w:val="E87722"/>
          <w:sz w:val="22"/>
          <w:szCs w:val="22"/>
        </w:rPr>
        <w:t xml:space="preserve">3.1. Engagement An 1 (modeste)</w:t>
      </w:r>
    </w:p>
    <w:p>
      <w:pPr>
        <w:pStyle w:val="ListParagraph"/>
        <w:numPr>
          <w:ilvl w:val="0"/>
          <w:numId w:val="2"/>
        </w:numPr>
        <w:spacing w:after="60" w:line="260"/>
      </w:pPr>
      <w:r>
        <w:rPr>
          <w:rFonts w:ascii="Calibri" w:cs="Calibri" w:eastAsia="Calibri" w:hAnsi="Calibri"/>
          <w:sz w:val="20"/>
          <w:szCs w:val="20"/>
        </w:rPr>
        <w:t xml:space="preserve">Rétro-PRs sur les outils open source utilisés (corrections bug, améliorations).</w:t>
      </w:r>
    </w:p>
    <w:p>
      <w:pPr>
        <w:pStyle w:val="ListParagraph"/>
        <w:numPr>
          <w:ilvl w:val="0"/>
          <w:numId w:val="2"/>
        </w:numPr>
        <w:spacing w:after="60" w:line="260"/>
      </w:pPr>
      <w:r>
        <w:rPr>
          <w:rFonts w:ascii="Calibri" w:cs="Calibri" w:eastAsia="Calibri" w:hAnsi="Calibri"/>
          <w:sz w:val="20"/>
          <w:szCs w:val="20"/>
        </w:rPr>
        <w:t xml:space="preserve">Sponsoring de mainteneurs sur GitHub Sponsors (≥ 50 €/mois An 1).</w:t>
      </w:r>
    </w:p>
    <w:p>
      <w:pPr>
        <w:pStyle w:val="ListParagraph"/>
        <w:numPr>
          <w:ilvl w:val="0"/>
          <w:numId w:val="2"/>
        </w:numPr>
        <w:spacing w:after="60" w:line="260"/>
      </w:pPr>
      <w:r>
        <w:rPr>
          <w:rFonts w:ascii="Calibri" w:cs="Calibri" w:eastAsia="Calibri" w:hAnsi="Calibri"/>
          <w:sz w:val="20"/>
          <w:szCs w:val="20"/>
        </w:rPr>
        <w:t xml:space="preserve">Signalement responsable de vulnérabilités.</w:t>
      </w:r>
    </w:p>
    <w:p>
      <w:pPr>
        <w:pStyle w:val="ListParagraph"/>
        <w:numPr>
          <w:ilvl w:val="0"/>
          <w:numId w:val="2"/>
        </w:numPr>
        <w:spacing w:after="60" w:line="260"/>
      </w:pPr>
      <w:r>
        <w:rPr>
          <w:rFonts w:ascii="Calibri" w:cs="Calibri" w:eastAsia="Calibri" w:hAnsi="Calibri"/>
          <w:sz w:val="20"/>
          <w:szCs w:val="20"/>
        </w:rPr>
        <w:t xml:space="preserve">Réponses aux issues sur les projets utilisés.</w:t>
      </w:r>
    </w:p>
    <w:p>
      <w:pPr>
        <w:spacing w:after="100" w:before="220"/>
      </w:pPr>
      <w:r>
        <w:rPr>
          <w:rFonts w:ascii="Calibri" w:cs="Calibri" w:eastAsia="Calibri" w:hAnsi="Calibri"/>
          <w:b/>
          <w:bCs/>
          <w:color w:val="E87722"/>
          <w:sz w:val="22"/>
          <w:szCs w:val="22"/>
        </w:rPr>
        <w:t xml:space="preserve">3.2. Engagement An 2-3 (croissant)</w:t>
      </w:r>
    </w:p>
    <w:p>
      <w:pPr>
        <w:pStyle w:val="ListParagraph"/>
        <w:numPr>
          <w:ilvl w:val="0"/>
          <w:numId w:val="2"/>
        </w:numPr>
        <w:spacing w:after="60" w:line="260"/>
      </w:pPr>
      <w:r>
        <w:rPr>
          <w:rFonts w:ascii="Calibri" w:cs="Calibri" w:eastAsia="Calibri" w:hAnsi="Calibri"/>
          <w:sz w:val="20"/>
          <w:szCs w:val="20"/>
        </w:rPr>
        <w:t xml:space="preserve">Open source progressif des modules non stratégiques (utilitaires, librairies internes).</w:t>
      </w:r>
    </w:p>
    <w:p>
      <w:pPr>
        <w:pStyle w:val="ListParagraph"/>
        <w:numPr>
          <w:ilvl w:val="0"/>
          <w:numId w:val="2"/>
        </w:numPr>
        <w:spacing w:after="60" w:line="260"/>
      </w:pPr>
      <w:r>
        <w:rPr>
          <w:rFonts w:ascii="Calibri" w:cs="Calibri" w:eastAsia="Calibri" w:hAnsi="Calibri"/>
          <w:sz w:val="20"/>
          <w:szCs w:val="20"/>
        </w:rPr>
        <w:t xml:space="preserve">Sponsoring augmenté (≥ 200 €/mois An 3).</w:t>
      </w:r>
    </w:p>
    <w:p>
      <w:pPr>
        <w:pStyle w:val="ListParagraph"/>
        <w:numPr>
          <w:ilvl w:val="0"/>
          <w:numId w:val="2"/>
        </w:numPr>
        <w:spacing w:after="60" w:line="260"/>
      </w:pPr>
      <w:r>
        <w:rPr>
          <w:rFonts w:ascii="Calibri" w:cs="Calibri" w:eastAsia="Calibri" w:hAnsi="Calibri"/>
          <w:sz w:val="20"/>
          <w:szCs w:val="20"/>
        </w:rPr>
        <w:t xml:space="preserve">Participation à des événements open source (FOSDEM, etc.).</w:t>
      </w:r>
    </w:p>
    <w:p>
      <w:pPr>
        <w:pStyle w:val="ListParagraph"/>
        <w:numPr>
          <w:ilvl w:val="0"/>
          <w:numId w:val="2"/>
        </w:numPr>
        <w:spacing w:after="60" w:line="260"/>
      </w:pPr>
      <w:r>
        <w:rPr>
          <w:rFonts w:ascii="Calibri" w:cs="Calibri" w:eastAsia="Calibri" w:hAnsi="Calibri"/>
          <w:sz w:val="20"/>
          <w:szCs w:val="20"/>
        </w:rPr>
        <w:t xml:space="preserve">Mentorat de contributeurs juniors.</w:t>
      </w:r>
    </w:p>
    <w:p>
      <w:pPr>
        <w:spacing w:after="100" w:before="220"/>
      </w:pPr>
      <w:r>
        <w:rPr>
          <w:rFonts w:ascii="Calibri" w:cs="Calibri" w:eastAsia="Calibri" w:hAnsi="Calibri"/>
          <w:b/>
          <w:bCs/>
          <w:color w:val="E87722"/>
          <w:sz w:val="22"/>
          <w:szCs w:val="22"/>
        </w:rPr>
        <w:t xml:space="preserve">3.3. Engagement An 5+ (mature)</w:t>
      </w:r>
    </w:p>
    <w:p>
      <w:pPr>
        <w:pStyle w:val="ListParagraph"/>
        <w:numPr>
          <w:ilvl w:val="0"/>
          <w:numId w:val="2"/>
        </w:numPr>
        <w:spacing w:after="60" w:line="260"/>
      </w:pPr>
      <w:r>
        <w:rPr>
          <w:rFonts w:ascii="Calibri" w:cs="Calibri" w:eastAsia="Calibri" w:hAnsi="Calibri"/>
          <w:sz w:val="20"/>
          <w:szCs w:val="20"/>
        </w:rPr>
        <w:t xml:space="preserve">Possibilité d'ouvrir des modules métier (calculateur carbone tourisme, par exemple).</w:t>
      </w:r>
    </w:p>
    <w:p>
      <w:pPr>
        <w:pStyle w:val="ListParagraph"/>
        <w:numPr>
          <w:ilvl w:val="0"/>
          <w:numId w:val="2"/>
        </w:numPr>
        <w:spacing w:after="60" w:line="260"/>
      </w:pPr>
      <w:r>
        <w:rPr>
          <w:rFonts w:ascii="Calibri" w:cs="Calibri" w:eastAsia="Calibri" w:hAnsi="Calibri"/>
          <w:sz w:val="20"/>
          <w:szCs w:val="20"/>
        </w:rPr>
        <w:t xml:space="preserve">Maintenance active de projets open source.</w:t>
      </w:r>
    </w:p>
    <w:p>
      <w:pPr>
        <w:pStyle w:val="ListParagraph"/>
        <w:numPr>
          <w:ilvl w:val="0"/>
          <w:numId w:val="2"/>
        </w:numPr>
        <w:spacing w:after="60" w:line="260"/>
      </w:pPr>
      <w:r>
        <w:rPr>
          <w:rFonts w:ascii="Calibri" w:cs="Calibri" w:eastAsia="Calibri" w:hAnsi="Calibri"/>
          <w:sz w:val="20"/>
          <w:szCs w:val="20"/>
        </w:rPr>
        <w:t xml:space="preserve">Conférences et publications techniques.</w:t>
      </w:r>
    </w:p>
    <w:p>
      <w:pPr>
        <w:pStyle w:val="ListParagraph"/>
        <w:numPr>
          <w:ilvl w:val="0"/>
          <w:numId w:val="2"/>
        </w:numPr>
        <w:spacing w:after="60" w:line="260"/>
      </w:pPr>
      <w:r>
        <w:rPr>
          <w:rFonts w:ascii="Calibri" w:cs="Calibri" w:eastAsia="Calibri" w:hAnsi="Calibri"/>
          <w:sz w:val="20"/>
          <w:szCs w:val="20"/>
        </w:rPr>
        <w:t xml:space="preserve">Possibilité de fonder ou participer à un consortium tourisme open source.</w:t>
      </w:r>
    </w:p>
    <w:p>
      <w:pPr>
        <w:spacing w:after="100" w:before="220"/>
      </w:pPr>
      <w:r>
        <w:rPr>
          <w:rFonts w:ascii="Calibri" w:cs="Calibri" w:eastAsia="Calibri" w:hAnsi="Calibri"/>
          <w:b/>
          <w:bCs/>
          <w:color w:val="E87722"/>
          <w:sz w:val="22"/>
          <w:szCs w:val="22"/>
        </w:rPr>
        <w:t xml:space="preserve">3.4. Refus de l'open-washing</w:t>
      </w:r>
    </w:p>
    <w:p>
      <w:pPr>
        <w:pStyle w:val="ListParagraph"/>
        <w:numPr>
          <w:ilvl w:val="0"/>
          <w:numId w:val="2"/>
        </w:numPr>
        <w:spacing w:after="60" w:line="260"/>
      </w:pPr>
      <w:r>
        <w:rPr>
          <w:rFonts w:ascii="Calibri" w:cs="Calibri" w:eastAsia="Calibri" w:hAnsi="Calibri"/>
          <w:sz w:val="20"/>
          <w:szCs w:val="20"/>
        </w:rPr>
        <w:t xml:space="preserve">Refus de l'« open core » trompeur (annoncer open source mais bloquer fonctionnalités essentielles).</w:t>
      </w:r>
    </w:p>
    <w:p>
      <w:pPr>
        <w:pStyle w:val="ListParagraph"/>
        <w:numPr>
          <w:ilvl w:val="0"/>
          <w:numId w:val="2"/>
        </w:numPr>
        <w:spacing w:after="60" w:line="260"/>
      </w:pPr>
      <w:r>
        <w:rPr>
          <w:rFonts w:ascii="Calibri" w:cs="Calibri" w:eastAsia="Calibri" w:hAnsi="Calibri"/>
          <w:sz w:val="20"/>
          <w:szCs w:val="20"/>
        </w:rPr>
        <w:t xml:space="preserve">Refus de license restrictives masquées (ex : SSPL non OSI-approved).</w:t>
      </w:r>
    </w:p>
    <w:p>
      <w:pPr>
        <w:pStyle w:val="ListParagraph"/>
        <w:numPr>
          <w:ilvl w:val="0"/>
          <w:numId w:val="2"/>
        </w:numPr>
        <w:spacing w:after="60" w:line="260"/>
      </w:pPr>
      <w:r>
        <w:rPr>
          <w:rFonts w:ascii="Calibri" w:cs="Calibri" w:eastAsia="Calibri" w:hAnsi="Calibri"/>
          <w:sz w:val="20"/>
          <w:szCs w:val="20"/>
        </w:rPr>
        <w:t xml:space="preserve">Engagement à respecter strictement OSI quand on annonce de l'open source.</w:t>
      </w:r>
    </w:p>
    <w:p>
      <w:pPr>
        <w:spacing w:after="160" w:before="240"/>
      </w:pPr>
      <w:r>
        <w:rPr>
          <w:rFonts w:ascii="Calibri" w:cs="Calibri" w:eastAsia="Calibri" w:hAnsi="Calibri"/>
          <w:b/>
          <w:bCs/>
          <w:color w:val="1F4E79"/>
          <w:sz w:val="32"/>
          <w:szCs w:val="32"/>
        </w:rPr>
        <w:t xml:space="preserve">4. Périmètre stratégique vs 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Composant</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Statut prévu</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Justification</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Architecture globale plateforme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Closed-source An 1-3</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Avantage concurrentiel</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Algorithmes recommandation voyage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Closed-source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Différenciation produit</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Calculateur carbone tourisme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Open source An 3</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Bien commun sectoriel</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Librairies utilitaires internes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Open source progressif An 2</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Pas stratégique</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Outil suivi qualité HRA</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Closed-source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Spécifique à Eventy</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Composants UI génériques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Open source possible An 3</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Réutilisable</w:t>
            </w:r>
          </w:p>
        </w:tc>
      </w:tr>
      <w:tr>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Documentation publique</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CC BY-SA 4.0</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Transparence</w:t>
            </w:r>
          </w:p>
        </w:tc>
      </w:tr>
    </w:tbl>
    <w:p>
      <w:pPr>
        <w:spacing w:after="160" w:before="240"/>
      </w:pPr>
      <w:r>
        <w:rPr>
          <w:rFonts w:ascii="Calibri" w:cs="Calibri" w:eastAsia="Calibri" w:hAnsi="Calibri"/>
          <w:b/>
          <w:bCs/>
          <w:color w:val="1F4E79"/>
          <w:sz w:val="32"/>
          <w:szCs w:val="32"/>
        </w:rPr>
        <w:t xml:space="preserve">5. Gestion de la propriété intellectuelle</w:t>
      </w:r>
    </w:p>
    <w:p>
      <w:pPr>
        <w:spacing w:after="100" w:before="220"/>
      </w:pPr>
      <w:r>
        <w:rPr>
          <w:rFonts w:ascii="Calibri" w:cs="Calibri" w:eastAsia="Calibri" w:hAnsi="Calibri"/>
          <w:b/>
          <w:bCs/>
          <w:color w:val="E87722"/>
          <w:sz w:val="22"/>
          <w:szCs w:val="22"/>
        </w:rPr>
        <w:t xml:space="preserve">5.1. Marques et identité</w:t>
      </w:r>
    </w:p>
    <w:p>
      <w:pPr>
        <w:pStyle w:val="ListParagraph"/>
        <w:numPr>
          <w:ilvl w:val="0"/>
          <w:numId w:val="2"/>
        </w:numPr>
        <w:spacing w:after="60" w:line="260"/>
      </w:pPr>
      <w:r>
        <w:rPr>
          <w:rFonts w:ascii="Calibri" w:cs="Calibri" w:eastAsia="Calibri" w:hAnsi="Calibri"/>
          <w:sz w:val="20"/>
          <w:szCs w:val="20"/>
        </w:rPr>
        <w:t xml:space="preserve">Dépôt INPI de la marque « Eventy Life » (cohérence Statuts SAS).</w:t>
      </w:r>
    </w:p>
    <w:p>
      <w:pPr>
        <w:pStyle w:val="ListParagraph"/>
        <w:numPr>
          <w:ilvl w:val="0"/>
          <w:numId w:val="2"/>
        </w:numPr>
        <w:spacing w:after="60" w:line="260"/>
      </w:pPr>
      <w:r>
        <w:rPr>
          <w:rFonts w:ascii="Calibri" w:cs="Calibri" w:eastAsia="Calibri" w:hAnsi="Calibri"/>
          <w:sz w:val="20"/>
          <w:szCs w:val="20"/>
        </w:rPr>
        <w:t xml:space="preserve">Dépôt logo et identité visuelle.</w:t>
      </w:r>
    </w:p>
    <w:p>
      <w:pPr>
        <w:pStyle w:val="ListParagraph"/>
        <w:numPr>
          <w:ilvl w:val="0"/>
          <w:numId w:val="2"/>
        </w:numPr>
        <w:spacing w:after="60" w:line="260"/>
      </w:pPr>
      <w:r>
        <w:rPr>
          <w:rFonts w:ascii="Calibri" w:cs="Calibri" w:eastAsia="Calibri" w:hAnsi="Calibri"/>
          <w:sz w:val="20"/>
          <w:szCs w:val="20"/>
        </w:rPr>
        <w:t xml:space="preserve">Veille concurrentielle et défense en cas de violation.</w:t>
      </w:r>
    </w:p>
    <w:p>
      <w:pPr>
        <w:pStyle w:val="ListParagraph"/>
        <w:numPr>
          <w:ilvl w:val="0"/>
          <w:numId w:val="2"/>
        </w:numPr>
        <w:spacing w:after="60" w:line="260"/>
      </w:pPr>
      <w:r>
        <w:rPr>
          <w:rFonts w:ascii="Calibri" w:cs="Calibri" w:eastAsia="Calibri" w:hAnsi="Calibri"/>
          <w:sz w:val="20"/>
          <w:szCs w:val="20"/>
        </w:rPr>
        <w:t xml:space="preserve">Pas de marque agressive (refus de l'opposition systématique).</w:t>
      </w:r>
    </w:p>
    <w:p>
      <w:pPr>
        <w:spacing w:after="100" w:before="220"/>
      </w:pPr>
      <w:r>
        <w:rPr>
          <w:rFonts w:ascii="Calibri" w:cs="Calibri" w:eastAsia="Calibri" w:hAnsi="Calibri"/>
          <w:b/>
          <w:bCs/>
          <w:color w:val="E87722"/>
          <w:sz w:val="22"/>
          <w:szCs w:val="22"/>
        </w:rPr>
        <w:t xml:space="preserve">5.2. Brevets</w:t>
      </w:r>
    </w:p>
    <w:p>
      <w:pPr>
        <w:pStyle w:val="ListParagraph"/>
        <w:numPr>
          <w:ilvl w:val="0"/>
          <w:numId w:val="2"/>
        </w:numPr>
        <w:spacing w:after="60" w:line="260"/>
      </w:pPr>
      <w:r>
        <w:rPr>
          <w:rFonts w:ascii="Calibri" w:cs="Calibri" w:eastAsia="Calibri" w:hAnsi="Calibri"/>
          <w:sz w:val="20"/>
          <w:szCs w:val="20"/>
        </w:rPr>
        <w:t xml:space="preserve">Refus du brevetage défensif (refus des patent trolls).</w:t>
      </w:r>
    </w:p>
    <w:p>
      <w:pPr>
        <w:pStyle w:val="ListParagraph"/>
        <w:numPr>
          <w:ilvl w:val="0"/>
          <w:numId w:val="2"/>
        </w:numPr>
        <w:spacing w:after="60" w:line="260"/>
      </w:pPr>
      <w:r>
        <w:rPr>
          <w:rFonts w:ascii="Calibri" w:cs="Calibri" w:eastAsia="Calibri" w:hAnsi="Calibri"/>
          <w:sz w:val="20"/>
          <w:szCs w:val="20"/>
        </w:rPr>
        <w:t xml:space="preserve">Brevet uniquement si invention technique majeure et essentielle (cas exceptionnel).</w:t>
      </w:r>
    </w:p>
    <w:p>
      <w:pPr>
        <w:pStyle w:val="ListParagraph"/>
        <w:numPr>
          <w:ilvl w:val="0"/>
          <w:numId w:val="2"/>
        </w:numPr>
        <w:spacing w:after="60" w:line="260"/>
      </w:pPr>
      <w:r>
        <w:rPr>
          <w:rFonts w:ascii="Calibri" w:cs="Calibri" w:eastAsia="Calibri" w:hAnsi="Calibri"/>
          <w:sz w:val="20"/>
          <w:szCs w:val="20"/>
        </w:rPr>
        <w:t xml:space="preserve">Engagement à licencier sous conditions raisonnables (FRAND).</w:t>
      </w:r>
    </w:p>
    <w:p>
      <w:pPr>
        <w:pStyle w:val="ListParagraph"/>
        <w:numPr>
          <w:ilvl w:val="0"/>
          <w:numId w:val="2"/>
        </w:numPr>
        <w:spacing w:after="60" w:line="260"/>
      </w:pPr>
      <w:r>
        <w:rPr>
          <w:rFonts w:ascii="Calibri" w:cs="Calibri" w:eastAsia="Calibri" w:hAnsi="Calibri"/>
          <w:sz w:val="20"/>
          <w:szCs w:val="20"/>
        </w:rPr>
        <w:t xml:space="preserve">Refus du brevetage de méthodes commerciales triviales.</w:t>
      </w:r>
    </w:p>
    <w:p>
      <w:pPr>
        <w:spacing w:after="100" w:before="220"/>
      </w:pPr>
      <w:r>
        <w:rPr>
          <w:rFonts w:ascii="Calibri" w:cs="Calibri" w:eastAsia="Calibri" w:hAnsi="Calibri"/>
          <w:b/>
          <w:bCs/>
          <w:color w:val="E87722"/>
          <w:sz w:val="22"/>
          <w:szCs w:val="22"/>
        </w:rPr>
        <w:t xml:space="preserve">5.3. Droits d'auteur</w:t>
      </w:r>
    </w:p>
    <w:p>
      <w:pPr>
        <w:pStyle w:val="ListParagraph"/>
        <w:numPr>
          <w:ilvl w:val="0"/>
          <w:numId w:val="2"/>
        </w:numPr>
        <w:spacing w:after="60" w:line="260"/>
      </w:pPr>
      <w:r>
        <w:rPr>
          <w:rFonts w:ascii="Calibri" w:cs="Calibri" w:eastAsia="Calibri" w:hAnsi="Calibri"/>
          <w:sz w:val="20"/>
          <w:szCs w:val="20"/>
        </w:rPr>
        <w:t xml:space="preserve">Code source : © Eventy Life SAS, par défaut closed-source.</w:t>
      </w:r>
    </w:p>
    <w:p>
      <w:pPr>
        <w:pStyle w:val="ListParagraph"/>
        <w:numPr>
          <w:ilvl w:val="0"/>
          <w:numId w:val="2"/>
        </w:numPr>
        <w:spacing w:after="60" w:line="260"/>
      </w:pPr>
      <w:r>
        <w:rPr>
          <w:rFonts w:ascii="Calibri" w:cs="Calibri" w:eastAsia="Calibri" w:hAnsi="Calibri"/>
          <w:sz w:val="20"/>
          <w:szCs w:val="20"/>
        </w:rPr>
        <w:t xml:space="preserve">Documents publics (CGV, mentions légales) : © Eventy Life, libre consultation.</w:t>
      </w:r>
    </w:p>
    <w:p>
      <w:pPr>
        <w:pStyle w:val="ListParagraph"/>
        <w:numPr>
          <w:ilvl w:val="0"/>
          <w:numId w:val="2"/>
        </w:numPr>
        <w:spacing w:after="60" w:line="260"/>
      </w:pPr>
      <w:r>
        <w:rPr>
          <w:rFonts w:ascii="Calibri" w:cs="Calibri" w:eastAsia="Calibri" w:hAnsi="Calibri"/>
          <w:sz w:val="20"/>
          <w:szCs w:val="20"/>
        </w:rPr>
        <w:t xml:space="preserve">Documents publiés sous licence ouverte : CC BY-SA 4.0.</w:t>
      </w:r>
    </w:p>
    <w:p>
      <w:pPr>
        <w:pStyle w:val="ListParagraph"/>
        <w:numPr>
          <w:ilvl w:val="0"/>
          <w:numId w:val="2"/>
        </w:numPr>
        <w:spacing w:after="60" w:line="260"/>
      </w:pPr>
      <w:r>
        <w:rPr>
          <w:rFonts w:ascii="Calibri" w:cs="Calibri" w:eastAsia="Calibri" w:hAnsi="Calibri"/>
          <w:sz w:val="20"/>
          <w:szCs w:val="20"/>
        </w:rPr>
        <w:t xml:space="preserve">Photos voyageurs : cohérence Politique image et droit à l'image.</w:t>
      </w:r>
    </w:p>
    <w:p>
      <w:pPr>
        <w:spacing w:after="100" w:before="220"/>
      </w:pPr>
      <w:r>
        <w:rPr>
          <w:rFonts w:ascii="Calibri" w:cs="Calibri" w:eastAsia="Calibri" w:hAnsi="Calibri"/>
          <w:b/>
          <w:bCs/>
          <w:color w:val="E87722"/>
          <w:sz w:val="22"/>
          <w:szCs w:val="22"/>
        </w:rPr>
        <w:t xml:space="preserve">5.4. Secrets d'affaires</w:t>
      </w:r>
    </w:p>
    <w:p>
      <w:pPr>
        <w:pStyle w:val="ListParagraph"/>
        <w:numPr>
          <w:ilvl w:val="0"/>
          <w:numId w:val="2"/>
        </w:numPr>
        <w:spacing w:after="60" w:line="260"/>
      </w:pPr>
      <w:r>
        <w:rPr>
          <w:rFonts w:ascii="Calibri" w:cs="Calibri" w:eastAsia="Calibri" w:hAnsi="Calibri"/>
          <w:sz w:val="20"/>
          <w:szCs w:val="20"/>
        </w:rPr>
        <w:t xml:space="preserve">Algorithmes propriétaires.</w:t>
      </w:r>
    </w:p>
    <w:p>
      <w:pPr>
        <w:pStyle w:val="ListParagraph"/>
        <w:numPr>
          <w:ilvl w:val="0"/>
          <w:numId w:val="2"/>
        </w:numPr>
        <w:spacing w:after="60" w:line="260"/>
      </w:pPr>
      <w:r>
        <w:rPr>
          <w:rFonts w:ascii="Calibri" w:cs="Calibri" w:eastAsia="Calibri" w:hAnsi="Calibri"/>
          <w:sz w:val="20"/>
          <w:szCs w:val="20"/>
        </w:rPr>
        <w:t xml:space="preserve">Données voyageurs et partenaires (cohérence RGPD).</w:t>
      </w:r>
    </w:p>
    <w:p>
      <w:pPr>
        <w:pStyle w:val="ListParagraph"/>
        <w:numPr>
          <w:ilvl w:val="0"/>
          <w:numId w:val="2"/>
        </w:numPr>
        <w:spacing w:after="60" w:line="260"/>
      </w:pPr>
      <w:r>
        <w:rPr>
          <w:rFonts w:ascii="Calibri" w:cs="Calibri" w:eastAsia="Calibri" w:hAnsi="Calibri"/>
          <w:sz w:val="20"/>
          <w:szCs w:val="20"/>
        </w:rPr>
        <w:t xml:space="preserve">Stratégie commerciale détaillée.</w:t>
      </w:r>
    </w:p>
    <w:p>
      <w:pPr>
        <w:pStyle w:val="ListParagraph"/>
        <w:numPr>
          <w:ilvl w:val="0"/>
          <w:numId w:val="2"/>
        </w:numPr>
        <w:spacing w:after="60" w:line="260"/>
      </w:pPr>
      <w:r>
        <w:rPr>
          <w:rFonts w:ascii="Calibri" w:cs="Calibri" w:eastAsia="Calibri" w:hAnsi="Calibri"/>
          <w:sz w:val="20"/>
          <w:szCs w:val="20"/>
        </w:rPr>
        <w:t xml:space="preserve">Conditions tarifaires HRA négociées.</w:t>
      </w:r>
    </w:p>
    <w:p>
      <w:pPr>
        <w:pStyle w:val="ListParagraph"/>
        <w:numPr>
          <w:ilvl w:val="0"/>
          <w:numId w:val="2"/>
        </w:numPr>
        <w:spacing w:after="60" w:line="260"/>
      </w:pPr>
      <w:r>
        <w:rPr>
          <w:rFonts w:ascii="Calibri" w:cs="Calibri" w:eastAsia="Calibri" w:hAnsi="Calibri"/>
          <w:sz w:val="20"/>
          <w:szCs w:val="20"/>
        </w:rPr>
        <w:t xml:space="preserve">Cohérence avec NDA (Non Disclosure Agreement) systématique.</w:t>
      </w:r>
    </w:p>
    <w:p>
      <w:pPr>
        <w:spacing w:after="160" w:before="240"/>
      </w:pPr>
      <w:r>
        <w:rPr>
          <w:rFonts w:ascii="Calibri" w:cs="Calibri" w:eastAsia="Calibri" w:hAnsi="Calibri"/>
          <w:b/>
          <w:bCs/>
          <w:color w:val="1F4E79"/>
          <w:sz w:val="32"/>
          <w:szCs w:val="32"/>
        </w:rPr>
        <w:t xml:space="preserve">6. Licences open source utilisées par Eventy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4368"/>
        <w:gridCol w:w="2496"/>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Licence</w:t>
            </w:r>
          </w:p>
        </w:tc>
        <w:tc>
          <w:tcPr>
            <w:tcW w:type="dxa" w:w="4368"/>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Utilisation Eventy</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Contraintes</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MIT</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Préférée pour les composants utilitaires Eventy à ouvrir</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Aucune significative</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Apache 2.0</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Acceptable pour composants intégrant brevets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Mention attribution</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GPL v3 / AGPL</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Évitée si intégration commerciale (effet copyleft)</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Forte</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BSD 3-clause</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Acceptable</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Aucune significative</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MPL 2.0</w:t>
            </w:r>
          </w:p>
        </w:tc>
        <w:tc>
          <w:tcPr>
            <w:tcW w:type="dxa" w:w="4368"/>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Possible</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Faible copyleft</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CC BY-SA 4.0</w:t>
            </w:r>
          </w:p>
        </w:tc>
        <w:tc>
          <w:tcPr>
            <w:tcW w:type="dxa" w:w="4368"/>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Documentation publique Eventy</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Partage des dérivés</w:t>
            </w:r>
          </w:p>
        </w:tc>
      </w:tr>
    </w:tbl>
    <w:p>
      <w:pPr>
        <w:spacing w:after="160" w:before="240"/>
      </w:pPr>
      <w:r>
        <w:rPr>
          <w:rFonts w:ascii="Calibri" w:cs="Calibri" w:eastAsia="Calibri" w:hAnsi="Calibri"/>
          <w:b/>
          <w:bCs/>
          <w:color w:val="1F4E79"/>
          <w:sz w:val="32"/>
          <w:szCs w:val="32"/>
        </w:rPr>
        <w:t xml:space="preserve">7. Compliance open source</w:t>
      </w:r>
    </w:p>
    <w:p>
      <w:pPr>
        <w:pStyle w:val="ListParagraph"/>
        <w:numPr>
          <w:ilvl w:val="0"/>
          <w:numId w:val="2"/>
        </w:numPr>
        <w:spacing w:after="60" w:line="260"/>
      </w:pPr>
      <w:r>
        <w:rPr>
          <w:rFonts w:ascii="Calibri" w:cs="Calibri" w:eastAsia="Calibri" w:hAnsi="Calibri"/>
          <w:sz w:val="20"/>
          <w:szCs w:val="20"/>
        </w:rPr>
        <w:t xml:space="preserve">SBOM (Software Bill of Materials) maintenu à jour pour le stack utilisé.</w:t>
      </w:r>
    </w:p>
    <w:p>
      <w:pPr>
        <w:pStyle w:val="ListParagraph"/>
        <w:numPr>
          <w:ilvl w:val="0"/>
          <w:numId w:val="2"/>
        </w:numPr>
        <w:spacing w:after="60" w:line="260"/>
      </w:pPr>
      <w:r>
        <w:rPr>
          <w:rFonts w:ascii="Calibri" w:cs="Calibri" w:eastAsia="Calibri" w:hAnsi="Calibri"/>
          <w:sz w:val="20"/>
          <w:szCs w:val="20"/>
        </w:rPr>
        <w:t xml:space="preserve">Audit annuel des licences (cohérence Plan d'audit interne).</w:t>
      </w:r>
    </w:p>
    <w:p>
      <w:pPr>
        <w:pStyle w:val="ListParagraph"/>
        <w:numPr>
          <w:ilvl w:val="0"/>
          <w:numId w:val="2"/>
        </w:numPr>
        <w:spacing w:after="60" w:line="260"/>
      </w:pPr>
      <w:r>
        <w:rPr>
          <w:rFonts w:ascii="Calibri" w:cs="Calibri" w:eastAsia="Calibri" w:hAnsi="Calibri"/>
          <w:sz w:val="20"/>
          <w:szCs w:val="20"/>
        </w:rPr>
        <w:t xml:space="preserve">Vérification compatibilité licences avant intégration.</w:t>
      </w:r>
    </w:p>
    <w:p>
      <w:pPr>
        <w:pStyle w:val="ListParagraph"/>
        <w:numPr>
          <w:ilvl w:val="0"/>
          <w:numId w:val="2"/>
        </w:numPr>
        <w:spacing w:after="60" w:line="260"/>
      </w:pPr>
      <w:r>
        <w:rPr>
          <w:rFonts w:ascii="Calibri" w:cs="Calibri" w:eastAsia="Calibri" w:hAnsi="Calibri"/>
          <w:sz w:val="20"/>
          <w:szCs w:val="20"/>
        </w:rPr>
        <w:t xml:space="preserve">Respect strict des obligations d'attribution.</w:t>
      </w:r>
    </w:p>
    <w:p>
      <w:pPr>
        <w:pStyle w:val="ListParagraph"/>
        <w:numPr>
          <w:ilvl w:val="0"/>
          <w:numId w:val="2"/>
        </w:numPr>
        <w:spacing w:after="60" w:line="260"/>
      </w:pPr>
      <w:r>
        <w:rPr>
          <w:rFonts w:ascii="Calibri" w:cs="Calibri" w:eastAsia="Calibri" w:hAnsi="Calibri"/>
          <w:sz w:val="20"/>
          <w:szCs w:val="20"/>
        </w:rPr>
        <w:t xml:space="preserve">Outil de scan automatisé (FOSSA, Snyk License Compliance).</w:t>
      </w:r>
    </w:p>
    <w:p>
      <w:pPr>
        <w:spacing w:after="160" w:before="240"/>
      </w:pPr>
      <w:r>
        <w:rPr>
          <w:rFonts w:ascii="Calibri" w:cs="Calibri" w:eastAsia="Calibri" w:hAnsi="Calibri"/>
          <w:b/>
          <w:bCs/>
          <w:color w:val="1F4E79"/>
          <w:sz w:val="32"/>
          <w:szCs w:val="32"/>
        </w:rPr>
        <w:t xml:space="preserve">8.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Sponsoring open source mensuel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Rétro-PRs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Modules ouverts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Vulnérabilités open source signalées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Selon contexte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Selon contexte</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Conformité licences SBOM</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Audits open source annuels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r>
    </w:tbl>
    <w:p>
      <w:pPr>
        <w:spacing w:after="160" w:before="240"/>
      </w:pPr>
      <w:r>
        <w:rPr>
          <w:rFonts w:ascii="Calibri" w:cs="Calibri" w:eastAsia="Calibri" w:hAnsi="Calibri"/>
          <w:b/>
          <w:bCs/>
          <w:color w:val="1F4E79"/>
          <w:sz w:val="32"/>
          <w:szCs w:val="32"/>
        </w:rPr>
        <w:t xml:space="preserve">9. Engagements éthiques</w:t>
      </w:r>
    </w:p>
    <w:p>
      <w:pPr>
        <w:pStyle w:val="ListParagraph"/>
        <w:numPr>
          <w:ilvl w:val="0"/>
          <w:numId w:val="2"/>
        </w:numPr>
        <w:spacing w:after="60" w:line="260"/>
      </w:pPr>
      <w:r>
        <w:rPr>
          <w:rFonts w:ascii="Calibri" w:cs="Calibri" w:eastAsia="Calibri" w:hAnsi="Calibri"/>
          <w:sz w:val="20"/>
          <w:szCs w:val="20"/>
        </w:rPr>
        <w:t xml:space="preserve">Refus de l'open-washing.</w:t>
      </w:r>
    </w:p>
    <w:p>
      <w:pPr>
        <w:pStyle w:val="ListParagraph"/>
        <w:numPr>
          <w:ilvl w:val="0"/>
          <w:numId w:val="2"/>
        </w:numPr>
        <w:spacing w:after="60" w:line="260"/>
      </w:pPr>
      <w:r>
        <w:rPr>
          <w:rFonts w:ascii="Calibri" w:cs="Calibri" w:eastAsia="Calibri" w:hAnsi="Calibri"/>
          <w:sz w:val="20"/>
          <w:szCs w:val="20"/>
        </w:rPr>
        <w:t xml:space="preserve">Refus du brevetage défensif.</w:t>
      </w:r>
    </w:p>
    <w:p>
      <w:pPr>
        <w:pStyle w:val="ListParagraph"/>
        <w:numPr>
          <w:ilvl w:val="0"/>
          <w:numId w:val="2"/>
        </w:numPr>
        <w:spacing w:after="60" w:line="260"/>
      </w:pPr>
      <w:r>
        <w:rPr>
          <w:rFonts w:ascii="Calibri" w:cs="Calibri" w:eastAsia="Calibri" w:hAnsi="Calibri"/>
          <w:sz w:val="20"/>
          <w:szCs w:val="20"/>
        </w:rPr>
        <w:t xml:space="preserve">Refus du fork hostile de projets open source.</w:t>
      </w:r>
    </w:p>
    <w:p>
      <w:pPr>
        <w:pStyle w:val="ListParagraph"/>
        <w:numPr>
          <w:ilvl w:val="0"/>
          <w:numId w:val="2"/>
        </w:numPr>
        <w:spacing w:after="60" w:line="260"/>
      </w:pPr>
      <w:r>
        <w:rPr>
          <w:rFonts w:ascii="Calibri" w:cs="Calibri" w:eastAsia="Calibri" w:hAnsi="Calibri"/>
          <w:sz w:val="20"/>
          <w:szCs w:val="20"/>
        </w:rPr>
        <w:t xml:space="preserve">Reconnaissance et crédit systématique aux contributeurs.</w:t>
      </w:r>
    </w:p>
    <w:p>
      <w:pPr>
        <w:pStyle w:val="ListParagraph"/>
        <w:numPr>
          <w:ilvl w:val="0"/>
          <w:numId w:val="2"/>
        </w:numPr>
        <w:spacing w:after="60" w:line="260"/>
      </w:pPr>
      <w:r>
        <w:rPr>
          <w:rFonts w:ascii="Calibri" w:cs="Calibri" w:eastAsia="Calibri" w:hAnsi="Calibri"/>
          <w:sz w:val="20"/>
          <w:szCs w:val="20"/>
        </w:rPr>
        <w:t xml:space="preserve">Engagement à signaler les vulnérabilités de manière responsable.</w:t>
      </w:r>
    </w:p>
    <w:p>
      <w:pPr>
        <w:pStyle w:val="ListParagraph"/>
        <w:numPr>
          <w:ilvl w:val="0"/>
          <w:numId w:val="2"/>
        </w:numPr>
        <w:spacing w:after="60" w:line="260"/>
      </w:pPr>
      <w:r>
        <w:rPr>
          <w:rFonts w:ascii="Calibri" w:cs="Calibri" w:eastAsia="Calibri" w:hAnsi="Calibri"/>
          <w:sz w:val="20"/>
          <w:szCs w:val="20"/>
        </w:rPr>
        <w:t xml:space="preserve">Refus de monétiser des contributions communautaires sans accord.</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Roadmap technique, Politique cybersécurité, Politique d'achats responsables, Politique de gestion documentaire, Charte engagement carbone, Plan d'audit interne, Statuts SAS.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open source et PI</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open source et propriété intellectuelle</dc:title>
  <dc:creator>David Eventy — Eventy Life SAS</dc:creator>
  <dc:description>Engagement open source et gestion de la PI Eventy Life.</dc:description>
  <cp:lastModifiedBy>Un-named</cp:lastModifiedBy>
  <cp:revision>1</cp:revision>
  <dcterms:created xsi:type="dcterms:W3CDTF">2026-05-02T03:52:29.781Z</dcterms:created>
  <dcterms:modified xsi:type="dcterms:W3CDTF">2026-05-02T03:52:29.782Z</dcterms:modified>
</cp:coreProperties>
</file>

<file path=docProps/custom.xml><?xml version="1.0" encoding="utf-8"?>
<Properties xmlns="http://schemas.openxmlformats.org/officeDocument/2006/custom-properties" xmlns:vt="http://schemas.openxmlformats.org/officeDocument/2006/docPropsVTypes"/>
</file>