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SPONSORING ET MÉCÉNAT EVENTY</w:t>
            </w:r>
          </w:p>
          <w:p>
            <w:pPr>
              <w:spacing w:after="0"/>
              <w:jc w:val="center"/>
            </w:pPr>
            <w:r>
              <w:rPr>
                <w:rFonts w:ascii="Calibri" w:cs="Calibri" w:eastAsia="Calibri" w:hAnsi="Calibri"/>
                <w:i/>
                <w:iCs/>
                <w:color w:val="1F4E79"/>
                <w:sz w:val="18"/>
                <w:szCs w:val="18"/>
              </w:rPr>
              <w:t xml:space="preserve">Règles d'engagement Eventy auprès de causes, événements et associations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règles d'EVENTY LIFE SAS en matière de sponsoring (commercial) et de mécénat (philanthropique). Elle complète le Plan de partenariats institutionnels (qui couvre les acteurs sectoriels) et la Politique RSE (qui couvre les engagements globaux). Elle pose un cadre pour décider d'engager Eventy auprès d'une cause, d'un événement, d'une association.</w:t>
      </w:r>
    </w:p>
    <w:p>
      <w:pPr>
        <w:spacing w:after="100" w:line="280"/>
        <w:jc w:val="both"/>
      </w:pPr>
      <w:r>
        <w:rPr>
          <w:rFonts w:ascii="Calibri" w:cs="Calibri" w:eastAsia="Calibri" w:hAnsi="Calibri"/>
          <w:i/>
          <w:iCs/>
          <w:color w:val="1A1A1A"/>
          <w:sz w:val="20"/>
          <w:szCs w:val="20"/>
        </w:rPr>
        <w:t xml:space="preserve">Eventy refuse le sponsoring opportuniste ou cosmétique. Notre approche : engager Eventy uniquement sur des causes alignées avec nos valeurs, dans la durée, avec impact mesurable. Le mécénat est aussi un engagement humain et économique réel, pas un argument marketing.</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Loi Aillagon (2003) — mécénat et fondations.</w:t>
      </w:r>
    </w:p>
    <w:p>
      <w:pPr>
        <w:pStyle w:val="ListParagraph"/>
        <w:numPr>
          <w:ilvl w:val="0"/>
          <w:numId w:val="2"/>
        </w:numPr>
        <w:spacing w:after="60" w:line="260"/>
      </w:pPr>
      <w:r>
        <w:rPr>
          <w:rFonts w:ascii="Calibri" w:cs="Calibri" w:eastAsia="Calibri" w:hAnsi="Calibri"/>
          <w:sz w:val="20"/>
          <w:szCs w:val="20"/>
        </w:rPr>
        <w:t xml:space="preserve">Articles 238 bis et 238 bis A du CGI — déductibilité fiscale du mécénat.</w:t>
      </w:r>
    </w:p>
    <w:p>
      <w:pPr>
        <w:pStyle w:val="ListParagraph"/>
        <w:numPr>
          <w:ilvl w:val="0"/>
          <w:numId w:val="2"/>
        </w:numPr>
        <w:spacing w:after="60" w:line="260"/>
      </w:pPr>
      <w:r>
        <w:rPr>
          <w:rFonts w:ascii="Calibri" w:cs="Calibri" w:eastAsia="Calibri" w:hAnsi="Calibri"/>
          <w:sz w:val="20"/>
          <w:szCs w:val="20"/>
        </w:rPr>
        <w:t xml:space="preserve">Code de la consommation — mention obligatoire publicité/sponsoring.</w:t>
      </w:r>
    </w:p>
    <w:p>
      <w:pPr>
        <w:pStyle w:val="ListParagraph"/>
        <w:numPr>
          <w:ilvl w:val="0"/>
          <w:numId w:val="2"/>
        </w:numPr>
        <w:spacing w:after="60" w:line="260"/>
      </w:pPr>
      <w:r>
        <w:rPr>
          <w:rFonts w:ascii="Calibri" w:cs="Calibri" w:eastAsia="Calibri" w:hAnsi="Calibri"/>
          <w:sz w:val="20"/>
          <w:szCs w:val="20"/>
        </w:rPr>
        <w:t xml:space="preserve">Politique RSE Eventy (cohérence).</w:t>
      </w:r>
    </w:p>
    <w:p>
      <w:pPr>
        <w:pStyle w:val="ListParagraph"/>
        <w:numPr>
          <w:ilvl w:val="0"/>
          <w:numId w:val="2"/>
        </w:numPr>
        <w:spacing w:after="60" w:line="260"/>
      </w:pPr>
      <w:r>
        <w:rPr>
          <w:rFonts w:ascii="Calibri" w:cs="Calibri" w:eastAsia="Calibri" w:hAnsi="Calibri"/>
          <w:sz w:val="20"/>
          <w:szCs w:val="20"/>
        </w:rPr>
        <w:t xml:space="preserve">Plan de partenariats institutionnels (cohérence).</w:t>
      </w:r>
    </w:p>
    <w:p>
      <w:pPr>
        <w:spacing w:after="160" w:before="240"/>
      </w:pPr>
      <w:r>
        <w:rPr>
          <w:rFonts w:ascii="Calibri" w:cs="Calibri" w:eastAsia="Calibri" w:hAnsi="Calibri"/>
          <w:b/>
          <w:bCs/>
          <w:color w:val="1F4E79"/>
          <w:sz w:val="32"/>
          <w:szCs w:val="32"/>
        </w:rPr>
        <w:t xml:space="preserve">2. Distinction sponsoring vs mécénat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Aspect</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Sponsoring</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Mécénat</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Nature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Commercial</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Philanthropique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Contrepartie pour Eventy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Visibilité explicite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Limitée (≤ 25 % don)</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Traitement comptable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Charge déductible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Réduction d'impôt 60 % (jusqu'à 0,5 % CA)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Mention sponsor obligatoire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Discrétion possible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Bénéficiaire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Tout type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Organisme d'intérêt général</w:t>
            </w:r>
          </w:p>
        </w:tc>
      </w:tr>
    </w:tbl>
    <w:p>
      <w:pPr>
        <w:spacing w:after="160" w:before="240"/>
      </w:pPr>
      <w:r>
        <w:rPr>
          <w:rFonts w:ascii="Calibri" w:cs="Calibri" w:eastAsia="Calibri" w:hAnsi="Calibri"/>
          <w:b/>
          <w:bCs/>
          <w:color w:val="1F4E79"/>
          <w:sz w:val="32"/>
          <w:szCs w:val="32"/>
        </w:rPr>
        <w:t xml:space="preserve">3. Principes directeurs</w:t>
      </w:r>
    </w:p>
    <w:p>
      <w:pPr>
        <w:spacing w:after="100" w:before="220"/>
      </w:pPr>
      <w:r>
        <w:rPr>
          <w:rFonts w:ascii="Calibri" w:cs="Calibri" w:eastAsia="Calibri" w:hAnsi="Calibri"/>
          <w:b/>
          <w:bCs/>
          <w:color w:val="E87722"/>
          <w:sz w:val="22"/>
          <w:szCs w:val="22"/>
        </w:rPr>
        <w:t xml:space="preserve">3.1. Cinq principes</w:t>
      </w:r>
    </w:p>
    <w:p>
      <w:pPr>
        <w:pStyle w:val="ListParagraph"/>
        <w:numPr>
          <w:ilvl w:val="0"/>
          <w:numId w:val="2"/>
        </w:numPr>
        <w:spacing w:after="60" w:line="260"/>
      </w:pPr>
      <w:r>
        <w:rPr>
          <w:rFonts w:ascii="Calibri" w:cs="Calibri" w:eastAsia="Calibri" w:hAnsi="Calibri"/>
          <w:sz w:val="20"/>
          <w:szCs w:val="20"/>
        </w:rPr>
        <w:t xml:space="preserve">Alignement valeurs — refus des engagements opportunistes.</w:t>
      </w:r>
    </w:p>
    <w:p>
      <w:pPr>
        <w:pStyle w:val="ListParagraph"/>
        <w:numPr>
          <w:ilvl w:val="0"/>
          <w:numId w:val="2"/>
        </w:numPr>
        <w:spacing w:after="60" w:line="260"/>
      </w:pPr>
      <w:r>
        <w:rPr>
          <w:rFonts w:ascii="Calibri" w:cs="Calibri" w:eastAsia="Calibri" w:hAnsi="Calibri"/>
          <w:sz w:val="20"/>
          <w:szCs w:val="20"/>
        </w:rPr>
        <w:t xml:space="preserve">Durée — préférence aux engagements pluriannuels (≥ 3 ans).</w:t>
      </w:r>
    </w:p>
    <w:p>
      <w:pPr>
        <w:pStyle w:val="ListParagraph"/>
        <w:numPr>
          <w:ilvl w:val="0"/>
          <w:numId w:val="2"/>
        </w:numPr>
        <w:spacing w:after="60" w:line="260"/>
      </w:pPr>
      <w:r>
        <w:rPr>
          <w:rFonts w:ascii="Calibri" w:cs="Calibri" w:eastAsia="Calibri" w:hAnsi="Calibri"/>
          <w:sz w:val="20"/>
          <w:szCs w:val="20"/>
        </w:rPr>
        <w:t xml:space="preserve">Mesurabilité — impact concret évaluable.</w:t>
      </w:r>
    </w:p>
    <w:p>
      <w:pPr>
        <w:pStyle w:val="ListParagraph"/>
        <w:numPr>
          <w:ilvl w:val="0"/>
          <w:numId w:val="2"/>
        </w:numPr>
        <w:spacing w:after="60" w:line="260"/>
      </w:pPr>
      <w:r>
        <w:rPr>
          <w:rFonts w:ascii="Calibri" w:cs="Calibri" w:eastAsia="Calibri" w:hAnsi="Calibri"/>
          <w:sz w:val="20"/>
          <w:szCs w:val="20"/>
        </w:rPr>
        <w:t xml:space="preserve">Transparence — communication honnête sans gonflement.</w:t>
      </w:r>
    </w:p>
    <w:p>
      <w:pPr>
        <w:pStyle w:val="ListParagraph"/>
        <w:numPr>
          <w:ilvl w:val="0"/>
          <w:numId w:val="2"/>
        </w:numPr>
        <w:spacing w:after="60" w:line="260"/>
      </w:pPr>
      <w:r>
        <w:rPr>
          <w:rFonts w:ascii="Calibri" w:cs="Calibri" w:eastAsia="Calibri" w:hAnsi="Calibri"/>
          <w:sz w:val="20"/>
          <w:szCs w:val="20"/>
        </w:rPr>
        <w:t xml:space="preserve">Cohérence interne — communication cohérente avec valeurs réelles.</w:t>
      </w:r>
    </w:p>
    <w:p>
      <w:pPr>
        <w:spacing w:after="100" w:before="220"/>
      </w:pPr>
      <w:r>
        <w:rPr>
          <w:rFonts w:ascii="Calibri" w:cs="Calibri" w:eastAsia="Calibri" w:hAnsi="Calibri"/>
          <w:b/>
          <w:bCs/>
          <w:color w:val="E87722"/>
          <w:sz w:val="22"/>
          <w:szCs w:val="22"/>
        </w:rPr>
        <w:t xml:space="preserve">3.2. Refus structurés</w:t>
      </w:r>
    </w:p>
    <w:p>
      <w:pPr>
        <w:pStyle w:val="ListParagraph"/>
        <w:numPr>
          <w:ilvl w:val="0"/>
          <w:numId w:val="2"/>
        </w:numPr>
        <w:spacing w:after="60" w:line="260"/>
      </w:pPr>
      <w:r>
        <w:rPr>
          <w:rFonts w:ascii="Calibri" w:cs="Calibri" w:eastAsia="Calibri" w:hAnsi="Calibri"/>
          <w:sz w:val="20"/>
          <w:szCs w:val="20"/>
        </w:rPr>
        <w:t xml:space="preserve">Refus du sponsoring pur greenwashing.</w:t>
      </w:r>
    </w:p>
    <w:p>
      <w:pPr>
        <w:pStyle w:val="ListParagraph"/>
        <w:numPr>
          <w:ilvl w:val="0"/>
          <w:numId w:val="2"/>
        </w:numPr>
        <w:spacing w:after="60" w:line="260"/>
      </w:pPr>
      <w:r>
        <w:rPr>
          <w:rFonts w:ascii="Calibri" w:cs="Calibri" w:eastAsia="Calibri" w:hAnsi="Calibri"/>
          <w:sz w:val="20"/>
          <w:szCs w:val="20"/>
        </w:rPr>
        <w:t xml:space="preserve">Refus des associations en conflit éthique avec valeurs Eventy.</w:t>
      </w:r>
    </w:p>
    <w:p>
      <w:pPr>
        <w:pStyle w:val="ListParagraph"/>
        <w:numPr>
          <w:ilvl w:val="0"/>
          <w:numId w:val="2"/>
        </w:numPr>
        <w:spacing w:after="60" w:line="260"/>
      </w:pPr>
      <w:r>
        <w:rPr>
          <w:rFonts w:ascii="Calibri" w:cs="Calibri" w:eastAsia="Calibri" w:hAnsi="Calibri"/>
          <w:sz w:val="20"/>
          <w:szCs w:val="20"/>
        </w:rPr>
        <w:t xml:space="preserve">Refus du mécénat sans suivi (don aveugle).</w:t>
      </w:r>
    </w:p>
    <w:p>
      <w:pPr>
        <w:pStyle w:val="ListParagraph"/>
        <w:numPr>
          <w:ilvl w:val="0"/>
          <w:numId w:val="2"/>
        </w:numPr>
        <w:spacing w:after="60" w:line="260"/>
      </w:pPr>
      <w:r>
        <w:rPr>
          <w:rFonts w:ascii="Calibri" w:cs="Calibri" w:eastAsia="Calibri" w:hAnsi="Calibri"/>
          <w:sz w:val="20"/>
          <w:szCs w:val="20"/>
        </w:rPr>
        <w:t xml:space="preserve">Refus du sponsoring d'événements contraires à la diversité.</w:t>
      </w:r>
    </w:p>
    <w:p>
      <w:pPr>
        <w:pStyle w:val="ListParagraph"/>
        <w:numPr>
          <w:ilvl w:val="0"/>
          <w:numId w:val="2"/>
        </w:numPr>
        <w:spacing w:after="60" w:line="260"/>
      </w:pPr>
      <w:r>
        <w:rPr>
          <w:rFonts w:ascii="Calibri" w:cs="Calibri" w:eastAsia="Calibri" w:hAnsi="Calibri"/>
          <w:sz w:val="20"/>
          <w:szCs w:val="20"/>
        </w:rPr>
        <w:t xml:space="preserve">Refus de toute exigence de contrepartie démesurée.</w:t>
      </w:r>
    </w:p>
    <w:p>
      <w:pPr>
        <w:pStyle w:val="ListParagraph"/>
        <w:numPr>
          <w:ilvl w:val="0"/>
          <w:numId w:val="2"/>
        </w:numPr>
        <w:spacing w:after="60" w:line="260"/>
      </w:pPr>
      <w:r>
        <w:rPr>
          <w:rFonts w:ascii="Calibri" w:cs="Calibri" w:eastAsia="Calibri" w:hAnsi="Calibri"/>
          <w:sz w:val="20"/>
          <w:szCs w:val="20"/>
        </w:rPr>
        <w:t xml:space="preserve">Refus du conflit d'intérêts (cohérence Politique conflits d'intérêts).</w:t>
      </w:r>
    </w:p>
    <w:p>
      <w:pPr>
        <w:spacing w:after="160" w:before="240"/>
      </w:pPr>
      <w:r>
        <w:rPr>
          <w:rFonts w:ascii="Calibri" w:cs="Calibri" w:eastAsia="Calibri" w:hAnsi="Calibri"/>
          <w:b/>
          <w:bCs/>
          <w:color w:val="1F4E79"/>
          <w:sz w:val="32"/>
          <w:szCs w:val="32"/>
        </w:rPr>
        <w:t xml:space="preserve">4. Causes et thématiques prioritaires Eventy</w:t>
      </w:r>
    </w:p>
    <w:p>
      <w:pPr>
        <w:spacing w:after="100" w:before="220"/>
      </w:pPr>
      <w:r>
        <w:rPr>
          <w:rFonts w:ascii="Calibri" w:cs="Calibri" w:eastAsia="Calibri" w:hAnsi="Calibri"/>
          <w:b/>
          <w:bCs/>
          <w:color w:val="E87722"/>
          <w:sz w:val="22"/>
          <w:szCs w:val="22"/>
        </w:rPr>
        <w:t xml:space="preserve">4.1. Tourisme social et solidaire</w:t>
      </w:r>
    </w:p>
    <w:p>
      <w:pPr>
        <w:pStyle w:val="ListParagraph"/>
        <w:numPr>
          <w:ilvl w:val="0"/>
          <w:numId w:val="2"/>
        </w:numPr>
        <w:spacing w:after="60" w:line="260"/>
      </w:pPr>
      <w:r>
        <w:rPr>
          <w:rFonts w:ascii="Calibri" w:cs="Calibri" w:eastAsia="Calibri" w:hAnsi="Calibri"/>
          <w:sz w:val="20"/>
          <w:szCs w:val="20"/>
        </w:rPr>
        <w:t xml:space="preserve">Associations de tourisme adapté.</w:t>
      </w:r>
    </w:p>
    <w:p>
      <w:pPr>
        <w:pStyle w:val="ListParagraph"/>
        <w:numPr>
          <w:ilvl w:val="0"/>
          <w:numId w:val="2"/>
        </w:numPr>
        <w:spacing w:after="60" w:line="260"/>
      </w:pPr>
      <w:r>
        <w:rPr>
          <w:rFonts w:ascii="Calibri" w:cs="Calibri" w:eastAsia="Calibri" w:hAnsi="Calibri"/>
          <w:sz w:val="20"/>
          <w:szCs w:val="20"/>
        </w:rPr>
        <w:t xml:space="preserve">Soutien aux personnes en situation de précarité.</w:t>
      </w:r>
    </w:p>
    <w:p>
      <w:pPr>
        <w:pStyle w:val="ListParagraph"/>
        <w:numPr>
          <w:ilvl w:val="0"/>
          <w:numId w:val="2"/>
        </w:numPr>
        <w:spacing w:after="60" w:line="260"/>
      </w:pPr>
      <w:r>
        <w:rPr>
          <w:rFonts w:ascii="Calibri" w:cs="Calibri" w:eastAsia="Calibri" w:hAnsi="Calibri"/>
          <w:sz w:val="20"/>
          <w:szCs w:val="20"/>
        </w:rPr>
        <w:t xml:space="preserve">Programmes de découverte pour publics éloignés du tourisme classique.</w:t>
      </w:r>
    </w:p>
    <w:p>
      <w:pPr>
        <w:spacing w:after="100" w:before="220"/>
      </w:pPr>
      <w:r>
        <w:rPr>
          <w:rFonts w:ascii="Calibri" w:cs="Calibri" w:eastAsia="Calibri" w:hAnsi="Calibri"/>
          <w:b/>
          <w:bCs/>
          <w:color w:val="E87722"/>
          <w:sz w:val="22"/>
          <w:szCs w:val="22"/>
        </w:rPr>
        <w:t xml:space="preserve">4.2. Écologie et biodiversité</w:t>
      </w:r>
    </w:p>
    <w:p>
      <w:pPr>
        <w:pStyle w:val="ListParagraph"/>
        <w:numPr>
          <w:ilvl w:val="0"/>
          <w:numId w:val="2"/>
        </w:numPr>
        <w:spacing w:after="60" w:line="260"/>
      </w:pPr>
      <w:r>
        <w:rPr>
          <w:rFonts w:ascii="Calibri" w:cs="Calibri" w:eastAsia="Calibri" w:hAnsi="Calibri"/>
          <w:sz w:val="20"/>
          <w:szCs w:val="20"/>
        </w:rPr>
        <w:t xml:space="preserve">Cohérence Charte engagement carbone.</w:t>
      </w:r>
    </w:p>
    <w:p>
      <w:pPr>
        <w:pStyle w:val="ListParagraph"/>
        <w:numPr>
          <w:ilvl w:val="0"/>
          <w:numId w:val="2"/>
        </w:numPr>
        <w:spacing w:after="60" w:line="260"/>
      </w:pPr>
      <w:r>
        <w:rPr>
          <w:rFonts w:ascii="Calibri" w:cs="Calibri" w:eastAsia="Calibri" w:hAnsi="Calibri"/>
          <w:sz w:val="20"/>
          <w:szCs w:val="20"/>
        </w:rPr>
        <w:t xml:space="preserve">Associations de protection de la biodiversité.</w:t>
      </w:r>
    </w:p>
    <w:p>
      <w:pPr>
        <w:pStyle w:val="ListParagraph"/>
        <w:numPr>
          <w:ilvl w:val="0"/>
          <w:numId w:val="2"/>
        </w:numPr>
        <w:spacing w:after="60" w:line="260"/>
      </w:pPr>
      <w:r>
        <w:rPr>
          <w:rFonts w:ascii="Calibri" w:cs="Calibri" w:eastAsia="Calibri" w:hAnsi="Calibri"/>
          <w:sz w:val="20"/>
          <w:szCs w:val="20"/>
        </w:rPr>
        <w:t xml:space="preserve">Projets de reforestation, préservation locale.</w:t>
      </w:r>
    </w:p>
    <w:p>
      <w:pPr>
        <w:pStyle w:val="ListParagraph"/>
        <w:numPr>
          <w:ilvl w:val="0"/>
          <w:numId w:val="2"/>
        </w:numPr>
        <w:spacing w:after="60" w:line="260"/>
      </w:pPr>
      <w:r>
        <w:rPr>
          <w:rFonts w:ascii="Calibri" w:cs="Calibri" w:eastAsia="Calibri" w:hAnsi="Calibri"/>
          <w:sz w:val="20"/>
          <w:szCs w:val="20"/>
        </w:rPr>
        <w:t xml:space="preserve">Programmes de tourisme durable.</w:t>
      </w:r>
    </w:p>
    <w:p>
      <w:pPr>
        <w:spacing w:after="100" w:before="220"/>
      </w:pPr>
      <w:r>
        <w:rPr>
          <w:rFonts w:ascii="Calibri" w:cs="Calibri" w:eastAsia="Calibri" w:hAnsi="Calibri"/>
          <w:b/>
          <w:bCs/>
          <w:color w:val="E87722"/>
          <w:sz w:val="22"/>
          <w:szCs w:val="22"/>
        </w:rPr>
        <w:t xml:space="preserve">4.3. Inclusion et handicap</w:t>
      </w:r>
    </w:p>
    <w:p>
      <w:pPr>
        <w:pStyle w:val="ListParagraph"/>
        <w:numPr>
          <w:ilvl w:val="0"/>
          <w:numId w:val="2"/>
        </w:numPr>
        <w:spacing w:after="60" w:line="260"/>
      </w:pPr>
      <w:r>
        <w:rPr>
          <w:rFonts w:ascii="Calibri" w:cs="Calibri" w:eastAsia="Calibri" w:hAnsi="Calibri"/>
          <w:sz w:val="20"/>
          <w:szCs w:val="20"/>
        </w:rPr>
        <w:t xml:space="preserve">Cohérence Politique accessibilité PMR + Charte d'inclusion et diversité.</w:t>
      </w:r>
    </w:p>
    <w:p>
      <w:pPr>
        <w:pStyle w:val="ListParagraph"/>
        <w:numPr>
          <w:ilvl w:val="0"/>
          <w:numId w:val="2"/>
        </w:numPr>
        <w:spacing w:after="60" w:line="260"/>
      </w:pPr>
      <w:r>
        <w:rPr>
          <w:rFonts w:ascii="Calibri" w:cs="Calibri" w:eastAsia="Calibri" w:hAnsi="Calibri"/>
          <w:sz w:val="20"/>
          <w:szCs w:val="20"/>
        </w:rPr>
        <w:t xml:space="preserve">Associations de personnes en situation de handicap.</w:t>
      </w:r>
    </w:p>
    <w:p>
      <w:pPr>
        <w:pStyle w:val="ListParagraph"/>
        <w:numPr>
          <w:ilvl w:val="0"/>
          <w:numId w:val="2"/>
        </w:numPr>
        <w:spacing w:after="60" w:line="260"/>
      </w:pPr>
      <w:r>
        <w:rPr>
          <w:rFonts w:ascii="Calibri" w:cs="Calibri" w:eastAsia="Calibri" w:hAnsi="Calibri"/>
          <w:sz w:val="20"/>
          <w:szCs w:val="20"/>
        </w:rPr>
        <w:t xml:space="preserve">Programmes d'accès au voyage pour PMR.</w:t>
      </w:r>
    </w:p>
    <w:p>
      <w:pPr>
        <w:spacing w:after="100" w:before="220"/>
      </w:pPr>
      <w:r>
        <w:rPr>
          <w:rFonts w:ascii="Calibri" w:cs="Calibri" w:eastAsia="Calibri" w:hAnsi="Calibri"/>
          <w:b/>
          <w:bCs/>
          <w:color w:val="E87722"/>
          <w:sz w:val="22"/>
          <w:szCs w:val="22"/>
        </w:rPr>
        <w:t xml:space="preserve">4.4. Économie sociale et solidaire</w:t>
      </w:r>
    </w:p>
    <w:p>
      <w:pPr>
        <w:pStyle w:val="ListParagraph"/>
        <w:numPr>
          <w:ilvl w:val="0"/>
          <w:numId w:val="2"/>
        </w:numPr>
        <w:spacing w:after="60" w:line="260"/>
      </w:pPr>
      <w:r>
        <w:rPr>
          <w:rFonts w:ascii="Calibri" w:cs="Calibri" w:eastAsia="Calibri" w:hAnsi="Calibri"/>
          <w:sz w:val="20"/>
          <w:szCs w:val="20"/>
        </w:rPr>
        <w:t xml:space="preserve">Soutien aux acteurs de l'ESS.</w:t>
      </w:r>
    </w:p>
    <w:p>
      <w:pPr>
        <w:pStyle w:val="ListParagraph"/>
        <w:numPr>
          <w:ilvl w:val="0"/>
          <w:numId w:val="2"/>
        </w:numPr>
        <w:spacing w:after="60" w:line="260"/>
      </w:pPr>
      <w:r>
        <w:rPr>
          <w:rFonts w:ascii="Calibri" w:cs="Calibri" w:eastAsia="Calibri" w:hAnsi="Calibri"/>
          <w:sz w:val="20"/>
          <w:szCs w:val="20"/>
        </w:rPr>
        <w:t xml:space="preserve">Cohérence Politique RSE (économie redistributive).</w:t>
      </w:r>
    </w:p>
    <w:p>
      <w:pPr>
        <w:pStyle w:val="ListParagraph"/>
        <w:numPr>
          <w:ilvl w:val="0"/>
          <w:numId w:val="2"/>
        </w:numPr>
        <w:spacing w:after="60" w:line="260"/>
      </w:pPr>
      <w:r>
        <w:rPr>
          <w:rFonts w:ascii="Calibri" w:cs="Calibri" w:eastAsia="Calibri" w:hAnsi="Calibri"/>
          <w:sz w:val="20"/>
          <w:szCs w:val="20"/>
        </w:rPr>
        <w:t xml:space="preserve">Refus du capitalisme extractif.</w:t>
      </w:r>
    </w:p>
    <w:p>
      <w:pPr>
        <w:spacing w:after="100" w:before="220"/>
      </w:pPr>
      <w:r>
        <w:rPr>
          <w:rFonts w:ascii="Calibri" w:cs="Calibri" w:eastAsia="Calibri" w:hAnsi="Calibri"/>
          <w:b/>
          <w:bCs/>
          <w:color w:val="E87722"/>
          <w:sz w:val="22"/>
          <w:szCs w:val="22"/>
        </w:rPr>
        <w:t xml:space="preserve">4.5. Culture et patrimoine local</w:t>
      </w:r>
    </w:p>
    <w:p>
      <w:pPr>
        <w:pStyle w:val="ListParagraph"/>
        <w:numPr>
          <w:ilvl w:val="0"/>
          <w:numId w:val="2"/>
        </w:numPr>
        <w:spacing w:after="60" w:line="260"/>
      </w:pPr>
      <w:r>
        <w:rPr>
          <w:rFonts w:ascii="Calibri" w:cs="Calibri" w:eastAsia="Calibri" w:hAnsi="Calibri"/>
          <w:sz w:val="20"/>
          <w:szCs w:val="20"/>
        </w:rPr>
        <w:t xml:space="preserve">Sauvegarde du patrimoine local.</w:t>
      </w:r>
    </w:p>
    <w:p>
      <w:pPr>
        <w:pStyle w:val="ListParagraph"/>
        <w:numPr>
          <w:ilvl w:val="0"/>
          <w:numId w:val="2"/>
        </w:numPr>
        <w:spacing w:after="60" w:line="260"/>
      </w:pPr>
      <w:r>
        <w:rPr>
          <w:rFonts w:ascii="Calibri" w:cs="Calibri" w:eastAsia="Calibri" w:hAnsi="Calibri"/>
          <w:sz w:val="20"/>
          <w:szCs w:val="20"/>
        </w:rPr>
        <w:t xml:space="preserve">Soutien aux artisans et créateurs locaux.</w:t>
      </w:r>
    </w:p>
    <w:p>
      <w:pPr>
        <w:pStyle w:val="ListParagraph"/>
        <w:numPr>
          <w:ilvl w:val="0"/>
          <w:numId w:val="2"/>
        </w:numPr>
        <w:spacing w:after="60" w:line="260"/>
      </w:pPr>
      <w:r>
        <w:rPr>
          <w:rFonts w:ascii="Calibri" w:cs="Calibri" w:eastAsia="Calibri" w:hAnsi="Calibri"/>
          <w:sz w:val="20"/>
          <w:szCs w:val="20"/>
        </w:rPr>
        <w:t xml:space="preserve">Festivals régionaux respectueux.</w:t>
      </w:r>
    </w:p>
    <w:p>
      <w:pPr>
        <w:spacing w:after="160" w:before="240"/>
      </w:pPr>
      <w:r>
        <w:rPr>
          <w:rFonts w:ascii="Calibri" w:cs="Calibri" w:eastAsia="Calibri" w:hAnsi="Calibri"/>
          <w:b/>
          <w:bCs/>
          <w:color w:val="1F4E79"/>
          <w:sz w:val="32"/>
          <w:szCs w:val="32"/>
        </w:rPr>
        <w:t xml:space="preserve">5. Modalités du sponsoring</w:t>
      </w:r>
    </w:p>
    <w:p>
      <w:pPr>
        <w:spacing w:after="100" w:before="220"/>
      </w:pPr>
      <w:r>
        <w:rPr>
          <w:rFonts w:ascii="Calibri" w:cs="Calibri" w:eastAsia="Calibri" w:hAnsi="Calibri"/>
          <w:b/>
          <w:bCs/>
          <w:color w:val="E87722"/>
          <w:sz w:val="22"/>
          <w:szCs w:val="22"/>
        </w:rPr>
        <w:t xml:space="preserve">5.1. Critères d'éligibilité</w:t>
      </w:r>
    </w:p>
    <w:p>
      <w:pPr>
        <w:pStyle w:val="ListParagraph"/>
        <w:numPr>
          <w:ilvl w:val="0"/>
          <w:numId w:val="2"/>
        </w:numPr>
        <w:spacing w:after="60" w:line="260"/>
      </w:pPr>
      <w:r>
        <w:rPr>
          <w:rFonts w:ascii="Calibri" w:cs="Calibri" w:eastAsia="Calibri" w:hAnsi="Calibri"/>
          <w:sz w:val="20"/>
          <w:szCs w:val="20"/>
        </w:rPr>
        <w:t xml:space="preserve">Cohérence valeurs Eventy (cohérence Politique RSE).</w:t>
      </w:r>
    </w:p>
    <w:p>
      <w:pPr>
        <w:pStyle w:val="ListParagraph"/>
        <w:numPr>
          <w:ilvl w:val="0"/>
          <w:numId w:val="2"/>
        </w:numPr>
        <w:spacing w:after="60" w:line="260"/>
      </w:pPr>
      <w:r>
        <w:rPr>
          <w:rFonts w:ascii="Calibri" w:cs="Calibri" w:eastAsia="Calibri" w:hAnsi="Calibri"/>
          <w:sz w:val="20"/>
          <w:szCs w:val="20"/>
        </w:rPr>
        <w:t xml:space="preserve">Impact mesurable et reportable.</w:t>
      </w:r>
    </w:p>
    <w:p>
      <w:pPr>
        <w:pStyle w:val="ListParagraph"/>
        <w:numPr>
          <w:ilvl w:val="0"/>
          <w:numId w:val="2"/>
        </w:numPr>
        <w:spacing w:after="60" w:line="260"/>
      </w:pPr>
      <w:r>
        <w:rPr>
          <w:rFonts w:ascii="Calibri" w:cs="Calibri" w:eastAsia="Calibri" w:hAnsi="Calibri"/>
          <w:sz w:val="20"/>
          <w:szCs w:val="20"/>
        </w:rPr>
        <w:t xml:space="preserve">Audit possible des fonds engagés.</w:t>
      </w:r>
    </w:p>
    <w:p>
      <w:pPr>
        <w:pStyle w:val="ListParagraph"/>
        <w:numPr>
          <w:ilvl w:val="0"/>
          <w:numId w:val="2"/>
        </w:numPr>
        <w:spacing w:after="60" w:line="260"/>
      </w:pPr>
      <w:r>
        <w:rPr>
          <w:rFonts w:ascii="Calibri" w:cs="Calibri" w:eastAsia="Calibri" w:hAnsi="Calibri"/>
          <w:sz w:val="20"/>
          <w:szCs w:val="20"/>
        </w:rPr>
        <w:t xml:space="preserve">Alignement avec les engagements Eventy (transparence, redistribution).</w:t>
      </w:r>
    </w:p>
    <w:p>
      <w:pPr>
        <w:pStyle w:val="ListParagraph"/>
        <w:numPr>
          <w:ilvl w:val="0"/>
          <w:numId w:val="2"/>
        </w:numPr>
        <w:spacing w:after="60" w:line="260"/>
      </w:pPr>
      <w:r>
        <w:rPr>
          <w:rFonts w:ascii="Calibri" w:cs="Calibri" w:eastAsia="Calibri" w:hAnsi="Calibri"/>
          <w:sz w:val="20"/>
          <w:szCs w:val="20"/>
        </w:rPr>
        <w:t xml:space="preserve">Refus des structures sous procédure judiciaire ou en redressement.</w:t>
      </w:r>
    </w:p>
    <w:p>
      <w:pPr>
        <w:spacing w:after="100" w:before="220"/>
      </w:pPr>
      <w:r>
        <w:rPr>
          <w:rFonts w:ascii="Calibri" w:cs="Calibri" w:eastAsia="Calibri" w:hAnsi="Calibri"/>
          <w:b/>
          <w:bCs/>
          <w:color w:val="E87722"/>
          <w:sz w:val="22"/>
          <w:szCs w:val="22"/>
        </w:rPr>
        <w:t xml:space="preserve">5.2. Plafonds annuels</w:t>
      </w:r>
    </w:p>
    <w:p>
      <w:pPr>
        <w:pStyle w:val="ListParagraph"/>
        <w:numPr>
          <w:ilvl w:val="0"/>
          <w:numId w:val="2"/>
        </w:numPr>
        <w:spacing w:after="60" w:line="260"/>
      </w:pPr>
      <w:r>
        <w:rPr>
          <w:rFonts w:ascii="Calibri" w:cs="Calibri" w:eastAsia="Calibri" w:hAnsi="Calibri"/>
          <w:sz w:val="20"/>
          <w:szCs w:val="20"/>
        </w:rPr>
        <w:t xml:space="preserve">An 1 : Budget sponsoring + mécénat ≤ 0,5 % du CA prévisionnel.</w:t>
      </w:r>
    </w:p>
    <w:p>
      <w:pPr>
        <w:pStyle w:val="ListParagraph"/>
        <w:numPr>
          <w:ilvl w:val="0"/>
          <w:numId w:val="2"/>
        </w:numPr>
        <w:spacing w:after="60" w:line="260"/>
      </w:pPr>
      <w:r>
        <w:rPr>
          <w:rFonts w:ascii="Calibri" w:cs="Calibri" w:eastAsia="Calibri" w:hAnsi="Calibri"/>
          <w:sz w:val="20"/>
          <w:szCs w:val="20"/>
        </w:rPr>
        <w:t xml:space="preserve">An 3 : Budget ≤ 1 % du CA, dont ≥ 50 % en mécénat.</w:t>
      </w:r>
    </w:p>
    <w:p>
      <w:pPr>
        <w:pStyle w:val="ListParagraph"/>
        <w:numPr>
          <w:ilvl w:val="0"/>
          <w:numId w:val="2"/>
        </w:numPr>
        <w:spacing w:after="60" w:line="260"/>
      </w:pPr>
      <w:r>
        <w:rPr>
          <w:rFonts w:ascii="Calibri" w:cs="Calibri" w:eastAsia="Calibri" w:hAnsi="Calibri"/>
          <w:sz w:val="20"/>
          <w:szCs w:val="20"/>
        </w:rPr>
        <w:t xml:space="preserve">An 5 : Budget ≤ 1 % du CA, dont ≥ 70 % en mécénat.</w:t>
      </w:r>
    </w:p>
    <w:p>
      <w:pPr>
        <w:pStyle w:val="ListParagraph"/>
        <w:numPr>
          <w:ilvl w:val="0"/>
          <w:numId w:val="2"/>
        </w:numPr>
        <w:spacing w:after="60" w:line="260"/>
      </w:pPr>
      <w:r>
        <w:rPr>
          <w:rFonts w:ascii="Calibri" w:cs="Calibri" w:eastAsia="Calibri" w:hAnsi="Calibri"/>
          <w:sz w:val="20"/>
          <w:szCs w:val="20"/>
        </w:rPr>
        <w:t xml:space="preserve">Validation Président obligatoire au-delà de 5 K€.</w:t>
      </w:r>
    </w:p>
    <w:p>
      <w:pPr>
        <w:pStyle w:val="ListParagraph"/>
        <w:numPr>
          <w:ilvl w:val="0"/>
          <w:numId w:val="2"/>
        </w:numPr>
        <w:spacing w:after="60" w:line="260"/>
      </w:pPr>
      <w:r>
        <w:rPr>
          <w:rFonts w:ascii="Calibri" w:cs="Calibri" w:eastAsia="Calibri" w:hAnsi="Calibri"/>
          <w:sz w:val="20"/>
          <w:szCs w:val="20"/>
        </w:rPr>
        <w:t xml:space="preserve">Validation associés au-delà de 25 K€ (cohérence Pacte associés Seed).</w:t>
      </w:r>
    </w:p>
    <w:p>
      <w:pPr>
        <w:spacing w:after="100" w:before="220"/>
      </w:pPr>
      <w:r>
        <w:rPr>
          <w:rFonts w:ascii="Calibri" w:cs="Calibri" w:eastAsia="Calibri" w:hAnsi="Calibri"/>
          <w:b/>
          <w:bCs/>
          <w:color w:val="E87722"/>
          <w:sz w:val="22"/>
          <w:szCs w:val="22"/>
        </w:rPr>
        <w:t xml:space="preserve">5.3. Durée des engagements</w:t>
      </w:r>
    </w:p>
    <w:p>
      <w:pPr>
        <w:pStyle w:val="ListParagraph"/>
        <w:numPr>
          <w:ilvl w:val="0"/>
          <w:numId w:val="2"/>
        </w:numPr>
        <w:spacing w:after="60" w:line="260"/>
      </w:pPr>
      <w:r>
        <w:rPr>
          <w:rFonts w:ascii="Calibri" w:cs="Calibri" w:eastAsia="Calibri" w:hAnsi="Calibri"/>
          <w:sz w:val="20"/>
          <w:szCs w:val="20"/>
        </w:rPr>
        <w:t xml:space="preserve">Préférence pour engagements pluriannuels (3-5 ans).</w:t>
      </w:r>
    </w:p>
    <w:p>
      <w:pPr>
        <w:pStyle w:val="ListParagraph"/>
        <w:numPr>
          <w:ilvl w:val="0"/>
          <w:numId w:val="2"/>
        </w:numPr>
        <w:spacing w:after="60" w:line="260"/>
      </w:pPr>
      <w:r>
        <w:rPr>
          <w:rFonts w:ascii="Calibri" w:cs="Calibri" w:eastAsia="Calibri" w:hAnsi="Calibri"/>
          <w:sz w:val="20"/>
          <w:szCs w:val="20"/>
        </w:rPr>
        <w:t xml:space="preserve">Engagements ponctuels possibles pour événements alignés.</w:t>
      </w:r>
    </w:p>
    <w:p>
      <w:pPr>
        <w:pStyle w:val="ListParagraph"/>
        <w:numPr>
          <w:ilvl w:val="0"/>
          <w:numId w:val="2"/>
        </w:numPr>
        <w:spacing w:after="60" w:line="260"/>
      </w:pPr>
      <w:r>
        <w:rPr>
          <w:rFonts w:ascii="Calibri" w:cs="Calibri" w:eastAsia="Calibri" w:hAnsi="Calibri"/>
          <w:sz w:val="20"/>
          <w:szCs w:val="20"/>
        </w:rPr>
        <w:t xml:space="preserve">Refus du sponsoring « one-shot » sans cohérence stratégique.</w:t>
      </w:r>
    </w:p>
    <w:p>
      <w:pPr>
        <w:spacing w:after="160" w:before="240"/>
      </w:pPr>
      <w:r>
        <w:rPr>
          <w:rFonts w:ascii="Calibri" w:cs="Calibri" w:eastAsia="Calibri" w:hAnsi="Calibri"/>
          <w:b/>
          <w:bCs/>
          <w:color w:val="1F4E79"/>
          <w:sz w:val="32"/>
          <w:szCs w:val="32"/>
        </w:rPr>
        <w:t xml:space="preserve">6. Modalités du mécénat</w:t>
      </w:r>
    </w:p>
    <w:p>
      <w:pPr>
        <w:spacing w:after="100" w:before="220"/>
      </w:pPr>
      <w:r>
        <w:rPr>
          <w:rFonts w:ascii="Calibri" w:cs="Calibri" w:eastAsia="Calibri" w:hAnsi="Calibri"/>
          <w:b/>
          <w:bCs/>
          <w:color w:val="E87722"/>
          <w:sz w:val="22"/>
          <w:szCs w:val="22"/>
        </w:rPr>
        <w:t xml:space="preserve">6.1. Bénéficiaires éligibles</w:t>
      </w:r>
    </w:p>
    <w:p>
      <w:pPr>
        <w:pStyle w:val="ListParagraph"/>
        <w:numPr>
          <w:ilvl w:val="0"/>
          <w:numId w:val="2"/>
        </w:numPr>
        <w:spacing w:after="60" w:line="260"/>
      </w:pPr>
      <w:r>
        <w:rPr>
          <w:rFonts w:ascii="Calibri" w:cs="Calibri" w:eastAsia="Calibri" w:hAnsi="Calibri"/>
          <w:sz w:val="20"/>
          <w:szCs w:val="20"/>
        </w:rPr>
        <w:t xml:space="preserve">Organismes reconnus d'intérêt général (article 200 et 238 bis CGI).</w:t>
      </w:r>
    </w:p>
    <w:p>
      <w:pPr>
        <w:pStyle w:val="ListParagraph"/>
        <w:numPr>
          <w:ilvl w:val="0"/>
          <w:numId w:val="2"/>
        </w:numPr>
        <w:spacing w:after="60" w:line="260"/>
      </w:pPr>
      <w:r>
        <w:rPr>
          <w:rFonts w:ascii="Calibri" w:cs="Calibri" w:eastAsia="Calibri" w:hAnsi="Calibri"/>
          <w:sz w:val="20"/>
          <w:szCs w:val="20"/>
        </w:rPr>
        <w:t xml:space="preserve">Fondations reconnues d'utilité publique.</w:t>
      </w:r>
    </w:p>
    <w:p>
      <w:pPr>
        <w:pStyle w:val="ListParagraph"/>
        <w:numPr>
          <w:ilvl w:val="0"/>
          <w:numId w:val="2"/>
        </w:numPr>
        <w:spacing w:after="60" w:line="260"/>
      </w:pPr>
      <w:r>
        <w:rPr>
          <w:rFonts w:ascii="Calibri" w:cs="Calibri" w:eastAsia="Calibri" w:hAnsi="Calibri"/>
          <w:sz w:val="20"/>
          <w:szCs w:val="20"/>
        </w:rPr>
        <w:t xml:space="preserve">Associations loi 1901 d'intérêt général.</w:t>
      </w:r>
    </w:p>
    <w:p>
      <w:pPr>
        <w:pStyle w:val="ListParagraph"/>
        <w:numPr>
          <w:ilvl w:val="0"/>
          <w:numId w:val="2"/>
        </w:numPr>
        <w:spacing w:after="60" w:line="260"/>
      </w:pPr>
      <w:r>
        <w:rPr>
          <w:rFonts w:ascii="Calibri" w:cs="Calibri" w:eastAsia="Calibri" w:hAnsi="Calibri"/>
          <w:sz w:val="20"/>
          <w:szCs w:val="20"/>
        </w:rPr>
        <w:t xml:space="preserve">Vérification du statut auprès de l'administration fiscale.</w:t>
      </w:r>
    </w:p>
    <w:p>
      <w:pPr>
        <w:spacing w:after="100" w:before="220"/>
      </w:pPr>
      <w:r>
        <w:rPr>
          <w:rFonts w:ascii="Calibri" w:cs="Calibri" w:eastAsia="Calibri" w:hAnsi="Calibri"/>
          <w:b/>
          <w:bCs/>
          <w:color w:val="E87722"/>
          <w:sz w:val="22"/>
          <w:szCs w:val="22"/>
        </w:rPr>
        <w:t xml:space="preserve">6.2. Types de mécénat</w:t>
      </w:r>
    </w:p>
    <w:p>
      <w:pPr>
        <w:pStyle w:val="ListParagraph"/>
        <w:numPr>
          <w:ilvl w:val="0"/>
          <w:numId w:val="2"/>
        </w:numPr>
        <w:spacing w:after="60" w:line="260"/>
      </w:pPr>
      <w:r>
        <w:rPr>
          <w:rFonts w:ascii="Calibri" w:cs="Calibri" w:eastAsia="Calibri" w:hAnsi="Calibri"/>
          <w:sz w:val="20"/>
          <w:szCs w:val="20"/>
        </w:rPr>
        <w:t xml:space="preserve">Mécénat financier (don en numéraire).</w:t>
      </w:r>
    </w:p>
    <w:p>
      <w:pPr>
        <w:pStyle w:val="ListParagraph"/>
        <w:numPr>
          <w:ilvl w:val="0"/>
          <w:numId w:val="2"/>
        </w:numPr>
        <w:spacing w:after="60" w:line="260"/>
      </w:pPr>
      <w:r>
        <w:rPr>
          <w:rFonts w:ascii="Calibri" w:cs="Calibri" w:eastAsia="Calibri" w:hAnsi="Calibri"/>
          <w:sz w:val="20"/>
          <w:szCs w:val="20"/>
        </w:rPr>
        <w:t xml:space="preserve">Mécénat en nature (don de biens).</w:t>
      </w:r>
    </w:p>
    <w:p>
      <w:pPr>
        <w:pStyle w:val="ListParagraph"/>
        <w:numPr>
          <w:ilvl w:val="0"/>
          <w:numId w:val="2"/>
        </w:numPr>
        <w:spacing w:after="60" w:line="260"/>
      </w:pPr>
      <w:r>
        <w:rPr>
          <w:rFonts w:ascii="Calibri" w:cs="Calibri" w:eastAsia="Calibri" w:hAnsi="Calibri"/>
          <w:sz w:val="20"/>
          <w:szCs w:val="20"/>
        </w:rPr>
        <w:t xml:space="preserve">Mécénat de compétences (mise à disposition d'équipe — 1 j/mois max An 2+).</w:t>
      </w:r>
    </w:p>
    <w:p>
      <w:pPr>
        <w:spacing w:after="100" w:before="220"/>
      </w:pPr>
      <w:r>
        <w:rPr>
          <w:rFonts w:ascii="Calibri" w:cs="Calibri" w:eastAsia="Calibri" w:hAnsi="Calibri"/>
          <w:b/>
          <w:bCs/>
          <w:color w:val="E87722"/>
          <w:sz w:val="22"/>
          <w:szCs w:val="22"/>
        </w:rPr>
        <w:t xml:space="preserve">6.3. Avantages fiscaux</w:t>
      </w:r>
    </w:p>
    <w:p>
      <w:pPr>
        <w:pStyle w:val="ListParagraph"/>
        <w:numPr>
          <w:ilvl w:val="0"/>
          <w:numId w:val="2"/>
        </w:numPr>
        <w:spacing w:after="60" w:line="260"/>
      </w:pPr>
      <w:r>
        <w:rPr>
          <w:rFonts w:ascii="Calibri" w:cs="Calibri" w:eastAsia="Calibri" w:hAnsi="Calibri"/>
          <w:sz w:val="20"/>
          <w:szCs w:val="20"/>
        </w:rPr>
        <w:t xml:space="preserve">Réduction d'impôt 60 % du don, dans la limite de 0,5 % du CA.</w:t>
      </w:r>
    </w:p>
    <w:p>
      <w:pPr>
        <w:pStyle w:val="ListParagraph"/>
        <w:numPr>
          <w:ilvl w:val="0"/>
          <w:numId w:val="2"/>
        </w:numPr>
        <w:spacing w:after="60" w:line="260"/>
      </w:pPr>
      <w:r>
        <w:rPr>
          <w:rFonts w:ascii="Calibri" w:cs="Calibri" w:eastAsia="Calibri" w:hAnsi="Calibri"/>
          <w:sz w:val="20"/>
          <w:szCs w:val="20"/>
        </w:rPr>
        <w:t xml:space="preserve">Possibilité de contrepartie limitée à 25 % du don.</w:t>
      </w:r>
    </w:p>
    <w:p>
      <w:pPr>
        <w:pStyle w:val="ListParagraph"/>
        <w:numPr>
          <w:ilvl w:val="0"/>
          <w:numId w:val="2"/>
        </w:numPr>
        <w:spacing w:after="60" w:line="260"/>
      </w:pPr>
      <w:r>
        <w:rPr>
          <w:rFonts w:ascii="Calibri" w:cs="Calibri" w:eastAsia="Calibri" w:hAnsi="Calibri"/>
          <w:sz w:val="20"/>
          <w:szCs w:val="20"/>
        </w:rPr>
        <w:t xml:space="preserve">Cohérence avec Note expert-comptable.</w:t>
      </w:r>
    </w:p>
    <w:p>
      <w:pPr>
        <w:spacing w:after="160" w:before="240"/>
      </w:pPr>
      <w:r>
        <w:rPr>
          <w:rFonts w:ascii="Calibri" w:cs="Calibri" w:eastAsia="Calibri" w:hAnsi="Calibri"/>
          <w:b/>
          <w:bCs/>
          <w:color w:val="1F4E79"/>
          <w:sz w:val="32"/>
          <w:szCs w:val="32"/>
        </w:rPr>
        <w:t xml:space="preserve">7. Process de décision</w:t>
      </w:r>
    </w:p>
    <w:p>
      <w:pPr>
        <w:spacing w:after="100" w:before="220"/>
      </w:pPr>
      <w:r>
        <w:rPr>
          <w:rFonts w:ascii="Calibri" w:cs="Calibri" w:eastAsia="Calibri" w:hAnsi="Calibri"/>
          <w:b/>
          <w:bCs/>
          <w:color w:val="E87722"/>
          <w:sz w:val="22"/>
          <w:szCs w:val="22"/>
        </w:rPr>
        <w:t xml:space="preserve">7.1. Étape 1 — Identification</w:t>
      </w:r>
    </w:p>
    <w:p>
      <w:pPr>
        <w:pStyle w:val="ListParagraph"/>
        <w:numPr>
          <w:ilvl w:val="0"/>
          <w:numId w:val="2"/>
        </w:numPr>
        <w:spacing w:after="60" w:line="260"/>
      </w:pPr>
      <w:r>
        <w:rPr>
          <w:rFonts w:ascii="Calibri" w:cs="Calibri" w:eastAsia="Calibri" w:hAnsi="Calibri"/>
          <w:sz w:val="20"/>
          <w:szCs w:val="20"/>
        </w:rPr>
        <w:t xml:space="preserve">Identification d'une cause alignée (sources : équipe, voyageurs, partenaires).</w:t>
      </w:r>
    </w:p>
    <w:p>
      <w:pPr>
        <w:pStyle w:val="ListParagraph"/>
        <w:numPr>
          <w:ilvl w:val="0"/>
          <w:numId w:val="2"/>
        </w:numPr>
        <w:spacing w:after="60" w:line="260"/>
      </w:pPr>
      <w:r>
        <w:rPr>
          <w:rFonts w:ascii="Calibri" w:cs="Calibri" w:eastAsia="Calibri" w:hAnsi="Calibri"/>
          <w:sz w:val="20"/>
          <w:szCs w:val="20"/>
        </w:rPr>
        <w:t xml:space="preserve">Vérification éligibilité (statut juridique, valeurs, impact).</w:t>
      </w:r>
    </w:p>
    <w:p>
      <w:pPr>
        <w:pStyle w:val="ListParagraph"/>
        <w:numPr>
          <w:ilvl w:val="0"/>
          <w:numId w:val="2"/>
        </w:numPr>
        <w:spacing w:after="60" w:line="260"/>
      </w:pPr>
      <w:r>
        <w:rPr>
          <w:rFonts w:ascii="Calibri" w:cs="Calibri" w:eastAsia="Calibri" w:hAnsi="Calibri"/>
          <w:sz w:val="20"/>
          <w:szCs w:val="20"/>
        </w:rPr>
        <w:t xml:space="preserve">Cohérence avec Plan stratégique 5 ans.</w:t>
      </w:r>
    </w:p>
    <w:p>
      <w:pPr>
        <w:spacing w:after="100" w:before="220"/>
      </w:pPr>
      <w:r>
        <w:rPr>
          <w:rFonts w:ascii="Calibri" w:cs="Calibri" w:eastAsia="Calibri" w:hAnsi="Calibri"/>
          <w:b/>
          <w:bCs/>
          <w:color w:val="E87722"/>
          <w:sz w:val="22"/>
          <w:szCs w:val="22"/>
        </w:rPr>
        <w:t xml:space="preserve">7.2. Étape 2 — Évaluation</w:t>
      </w:r>
    </w:p>
    <w:p>
      <w:pPr>
        <w:pStyle w:val="ListParagraph"/>
        <w:numPr>
          <w:ilvl w:val="0"/>
          <w:numId w:val="2"/>
        </w:numPr>
        <w:spacing w:after="60" w:line="260"/>
      </w:pPr>
      <w:r>
        <w:rPr>
          <w:rFonts w:ascii="Calibri" w:cs="Calibri" w:eastAsia="Calibri" w:hAnsi="Calibri"/>
          <w:sz w:val="20"/>
          <w:szCs w:val="20"/>
        </w:rPr>
        <w:t xml:space="preserve">Étude du projet (objectif, budget, impact attendu).</w:t>
      </w:r>
    </w:p>
    <w:p>
      <w:pPr>
        <w:pStyle w:val="ListParagraph"/>
        <w:numPr>
          <w:ilvl w:val="0"/>
          <w:numId w:val="2"/>
        </w:numPr>
        <w:spacing w:after="60" w:line="260"/>
      </w:pPr>
      <w:r>
        <w:rPr>
          <w:rFonts w:ascii="Calibri" w:cs="Calibri" w:eastAsia="Calibri" w:hAnsi="Calibri"/>
          <w:sz w:val="20"/>
          <w:szCs w:val="20"/>
        </w:rPr>
        <w:t xml:space="preserve">Vérification de la solidité de la structure.</w:t>
      </w:r>
    </w:p>
    <w:p>
      <w:pPr>
        <w:pStyle w:val="ListParagraph"/>
        <w:numPr>
          <w:ilvl w:val="0"/>
          <w:numId w:val="2"/>
        </w:numPr>
        <w:spacing w:after="60" w:line="260"/>
      </w:pPr>
      <w:r>
        <w:rPr>
          <w:rFonts w:ascii="Calibri" w:cs="Calibri" w:eastAsia="Calibri" w:hAnsi="Calibri"/>
          <w:sz w:val="20"/>
          <w:szCs w:val="20"/>
        </w:rPr>
        <w:t xml:space="preserve">Vérification absence de conflit d'intérêts (cohérence Politique conflits d'intérêts).</w:t>
      </w:r>
    </w:p>
    <w:p>
      <w:pPr>
        <w:pStyle w:val="ListParagraph"/>
        <w:numPr>
          <w:ilvl w:val="0"/>
          <w:numId w:val="2"/>
        </w:numPr>
        <w:spacing w:after="60" w:line="260"/>
      </w:pPr>
      <w:r>
        <w:rPr>
          <w:rFonts w:ascii="Calibri" w:cs="Calibri" w:eastAsia="Calibri" w:hAnsi="Calibri"/>
          <w:sz w:val="20"/>
          <w:szCs w:val="20"/>
        </w:rPr>
        <w:t xml:space="preserve">Calcul de l'impact financier pour Eventy.</w:t>
      </w:r>
    </w:p>
    <w:p>
      <w:pPr>
        <w:spacing w:after="100" w:before="220"/>
      </w:pPr>
      <w:r>
        <w:rPr>
          <w:rFonts w:ascii="Calibri" w:cs="Calibri" w:eastAsia="Calibri" w:hAnsi="Calibri"/>
          <w:b/>
          <w:bCs/>
          <w:color w:val="E87722"/>
          <w:sz w:val="22"/>
          <w:szCs w:val="22"/>
        </w:rPr>
        <w:t xml:space="preserve">7.3. Étape 3 — Décision</w:t>
      </w:r>
    </w:p>
    <w:p>
      <w:pPr>
        <w:pStyle w:val="ListParagraph"/>
        <w:numPr>
          <w:ilvl w:val="0"/>
          <w:numId w:val="2"/>
        </w:numPr>
        <w:spacing w:after="60" w:line="260"/>
      </w:pPr>
      <w:r>
        <w:rPr>
          <w:rFonts w:ascii="Calibri" w:cs="Calibri" w:eastAsia="Calibri" w:hAnsi="Calibri"/>
          <w:sz w:val="20"/>
          <w:szCs w:val="20"/>
        </w:rPr>
        <w:t xml:space="preserve">Décision Président (≤ 5 K€).</w:t>
      </w:r>
    </w:p>
    <w:p>
      <w:pPr>
        <w:pStyle w:val="ListParagraph"/>
        <w:numPr>
          <w:ilvl w:val="0"/>
          <w:numId w:val="2"/>
        </w:numPr>
        <w:spacing w:after="60" w:line="260"/>
      </w:pPr>
      <w:r>
        <w:rPr>
          <w:rFonts w:ascii="Calibri" w:cs="Calibri" w:eastAsia="Calibri" w:hAnsi="Calibri"/>
          <w:sz w:val="20"/>
          <w:szCs w:val="20"/>
        </w:rPr>
        <w:t xml:space="preserve">Décision Comité (5-25 K€).</w:t>
      </w:r>
    </w:p>
    <w:p>
      <w:pPr>
        <w:pStyle w:val="ListParagraph"/>
        <w:numPr>
          <w:ilvl w:val="0"/>
          <w:numId w:val="2"/>
        </w:numPr>
        <w:spacing w:after="60" w:line="260"/>
      </w:pPr>
      <w:r>
        <w:rPr>
          <w:rFonts w:ascii="Calibri" w:cs="Calibri" w:eastAsia="Calibri" w:hAnsi="Calibri"/>
          <w:sz w:val="20"/>
          <w:szCs w:val="20"/>
        </w:rPr>
        <w:t xml:space="preserve">Décision associés (&gt; 25 K€).</w:t>
      </w:r>
    </w:p>
    <w:p>
      <w:pPr>
        <w:pStyle w:val="ListParagraph"/>
        <w:numPr>
          <w:ilvl w:val="0"/>
          <w:numId w:val="2"/>
        </w:numPr>
        <w:spacing w:after="60" w:line="260"/>
      </w:pPr>
      <w:r>
        <w:rPr>
          <w:rFonts w:ascii="Calibri" w:cs="Calibri" w:eastAsia="Calibri" w:hAnsi="Calibri"/>
          <w:sz w:val="20"/>
          <w:szCs w:val="20"/>
        </w:rPr>
        <w:t xml:space="preserve">Décision documentée (date, motivation, contrepartie).</w:t>
      </w:r>
    </w:p>
    <w:p>
      <w:pPr>
        <w:spacing w:after="100" w:before="220"/>
      </w:pPr>
      <w:r>
        <w:rPr>
          <w:rFonts w:ascii="Calibri" w:cs="Calibri" w:eastAsia="Calibri" w:hAnsi="Calibri"/>
          <w:b/>
          <w:bCs/>
          <w:color w:val="E87722"/>
          <w:sz w:val="22"/>
          <w:szCs w:val="22"/>
        </w:rPr>
        <w:t xml:space="preserve">7.4. Étape 4 — Contractualisation</w:t>
      </w:r>
    </w:p>
    <w:p>
      <w:pPr>
        <w:pStyle w:val="ListParagraph"/>
        <w:numPr>
          <w:ilvl w:val="0"/>
          <w:numId w:val="2"/>
        </w:numPr>
        <w:spacing w:after="60" w:line="260"/>
      </w:pPr>
      <w:r>
        <w:rPr>
          <w:rFonts w:ascii="Calibri" w:cs="Calibri" w:eastAsia="Calibri" w:hAnsi="Calibri"/>
          <w:sz w:val="20"/>
          <w:szCs w:val="20"/>
        </w:rPr>
        <w:t xml:space="preserve">Convention de sponsoring ou mécénat formalisée.</w:t>
      </w:r>
    </w:p>
    <w:p>
      <w:pPr>
        <w:pStyle w:val="ListParagraph"/>
        <w:numPr>
          <w:ilvl w:val="0"/>
          <w:numId w:val="2"/>
        </w:numPr>
        <w:spacing w:after="60" w:line="260"/>
      </w:pPr>
      <w:r>
        <w:rPr>
          <w:rFonts w:ascii="Calibri" w:cs="Calibri" w:eastAsia="Calibri" w:hAnsi="Calibri"/>
          <w:sz w:val="20"/>
          <w:szCs w:val="20"/>
        </w:rPr>
        <w:t xml:space="preserve">Plan de paiement défini.</w:t>
      </w:r>
    </w:p>
    <w:p>
      <w:pPr>
        <w:pStyle w:val="ListParagraph"/>
        <w:numPr>
          <w:ilvl w:val="0"/>
          <w:numId w:val="2"/>
        </w:numPr>
        <w:spacing w:after="60" w:line="260"/>
      </w:pPr>
      <w:r>
        <w:rPr>
          <w:rFonts w:ascii="Calibri" w:cs="Calibri" w:eastAsia="Calibri" w:hAnsi="Calibri"/>
          <w:sz w:val="20"/>
          <w:szCs w:val="20"/>
        </w:rPr>
        <w:t xml:space="preserve">Modalités de communication.</w:t>
      </w:r>
    </w:p>
    <w:p>
      <w:pPr>
        <w:pStyle w:val="ListParagraph"/>
        <w:numPr>
          <w:ilvl w:val="0"/>
          <w:numId w:val="2"/>
        </w:numPr>
        <w:spacing w:after="60" w:line="260"/>
      </w:pPr>
      <w:r>
        <w:rPr>
          <w:rFonts w:ascii="Calibri" w:cs="Calibri" w:eastAsia="Calibri" w:hAnsi="Calibri"/>
          <w:sz w:val="20"/>
          <w:szCs w:val="20"/>
        </w:rPr>
        <w:t xml:space="preserve">Modalités de reporting et d'évaluation.</w:t>
      </w:r>
    </w:p>
    <w:p>
      <w:pPr>
        <w:spacing w:after="100" w:before="220"/>
      </w:pPr>
      <w:r>
        <w:rPr>
          <w:rFonts w:ascii="Calibri" w:cs="Calibri" w:eastAsia="Calibri" w:hAnsi="Calibri"/>
          <w:b/>
          <w:bCs/>
          <w:color w:val="E87722"/>
          <w:sz w:val="22"/>
          <w:szCs w:val="22"/>
        </w:rPr>
        <w:t xml:space="preserve">7.5. Étape 5 — Suivi</w:t>
      </w:r>
    </w:p>
    <w:p>
      <w:pPr>
        <w:pStyle w:val="ListParagraph"/>
        <w:numPr>
          <w:ilvl w:val="0"/>
          <w:numId w:val="2"/>
        </w:numPr>
        <w:spacing w:after="60" w:line="260"/>
      </w:pPr>
      <w:r>
        <w:rPr>
          <w:rFonts w:ascii="Calibri" w:cs="Calibri" w:eastAsia="Calibri" w:hAnsi="Calibri"/>
          <w:sz w:val="20"/>
          <w:szCs w:val="20"/>
        </w:rPr>
        <w:t xml:space="preserve">Reporting annuel demandé au bénéficiaire.</w:t>
      </w:r>
    </w:p>
    <w:p>
      <w:pPr>
        <w:pStyle w:val="ListParagraph"/>
        <w:numPr>
          <w:ilvl w:val="0"/>
          <w:numId w:val="2"/>
        </w:numPr>
        <w:spacing w:after="60" w:line="260"/>
      </w:pPr>
      <w:r>
        <w:rPr>
          <w:rFonts w:ascii="Calibri" w:cs="Calibri" w:eastAsia="Calibri" w:hAnsi="Calibri"/>
          <w:sz w:val="20"/>
          <w:szCs w:val="20"/>
        </w:rPr>
        <w:t xml:space="preserve">Évaluation impact réel vs prévu.</w:t>
      </w:r>
    </w:p>
    <w:p>
      <w:pPr>
        <w:pStyle w:val="ListParagraph"/>
        <w:numPr>
          <w:ilvl w:val="0"/>
          <w:numId w:val="2"/>
        </w:numPr>
        <w:spacing w:after="60" w:line="260"/>
      </w:pPr>
      <w:r>
        <w:rPr>
          <w:rFonts w:ascii="Calibri" w:cs="Calibri" w:eastAsia="Calibri" w:hAnsi="Calibri"/>
          <w:sz w:val="20"/>
          <w:szCs w:val="20"/>
        </w:rPr>
        <w:t xml:space="preserve">Décision renouvellement / arrêt.</w:t>
      </w:r>
    </w:p>
    <w:p>
      <w:pPr>
        <w:pStyle w:val="ListParagraph"/>
        <w:numPr>
          <w:ilvl w:val="0"/>
          <w:numId w:val="2"/>
        </w:numPr>
        <w:spacing w:after="60" w:line="260"/>
      </w:pPr>
      <w:r>
        <w:rPr>
          <w:rFonts w:ascii="Calibri" w:cs="Calibri" w:eastAsia="Calibri" w:hAnsi="Calibri"/>
          <w:sz w:val="20"/>
          <w:szCs w:val="20"/>
        </w:rPr>
        <w:t xml:space="preserve">Communication transparente sur résultats (cohérence Politique RSE).</w:t>
      </w:r>
    </w:p>
    <w:p>
      <w:pPr>
        <w:spacing w:after="160" w:before="240"/>
      </w:pPr>
      <w:r>
        <w:rPr>
          <w:rFonts w:ascii="Calibri" w:cs="Calibri" w:eastAsia="Calibri" w:hAnsi="Calibri"/>
          <w:b/>
          <w:bCs/>
          <w:color w:val="1F4E79"/>
          <w:sz w:val="32"/>
          <w:szCs w:val="32"/>
        </w:rPr>
        <w:t xml:space="preserve">8. Communication et transparence</w:t>
      </w:r>
    </w:p>
    <w:p>
      <w:pPr>
        <w:pStyle w:val="ListParagraph"/>
        <w:numPr>
          <w:ilvl w:val="0"/>
          <w:numId w:val="2"/>
        </w:numPr>
        <w:spacing w:after="60" w:line="260"/>
      </w:pPr>
      <w:r>
        <w:rPr>
          <w:rFonts w:ascii="Calibri" w:cs="Calibri" w:eastAsia="Calibri" w:hAnsi="Calibri"/>
          <w:sz w:val="20"/>
          <w:szCs w:val="20"/>
        </w:rPr>
        <w:t xml:space="preserve">Liste des partenariats sponsoring/mécénat publiée annuellement (rapport RSE).</w:t>
      </w:r>
    </w:p>
    <w:p>
      <w:pPr>
        <w:pStyle w:val="ListParagraph"/>
        <w:numPr>
          <w:ilvl w:val="0"/>
          <w:numId w:val="2"/>
        </w:numPr>
        <w:spacing w:after="60" w:line="260"/>
      </w:pPr>
      <w:r>
        <w:rPr>
          <w:rFonts w:ascii="Calibri" w:cs="Calibri" w:eastAsia="Calibri" w:hAnsi="Calibri"/>
          <w:sz w:val="20"/>
          <w:szCs w:val="20"/>
        </w:rPr>
        <w:t xml:space="preserve">Mention transparente lors de la communication associée.</w:t>
      </w:r>
    </w:p>
    <w:p>
      <w:pPr>
        <w:pStyle w:val="ListParagraph"/>
        <w:numPr>
          <w:ilvl w:val="0"/>
          <w:numId w:val="2"/>
        </w:numPr>
        <w:spacing w:after="60" w:line="260"/>
      </w:pPr>
      <w:r>
        <w:rPr>
          <w:rFonts w:ascii="Calibri" w:cs="Calibri" w:eastAsia="Calibri" w:hAnsi="Calibri"/>
          <w:sz w:val="20"/>
          <w:szCs w:val="20"/>
        </w:rPr>
        <w:t xml:space="preserve">Refus de la sur-communication (mécénat doit rester discret).</w:t>
      </w:r>
    </w:p>
    <w:p>
      <w:pPr>
        <w:pStyle w:val="ListParagraph"/>
        <w:numPr>
          <w:ilvl w:val="0"/>
          <w:numId w:val="2"/>
        </w:numPr>
        <w:spacing w:after="60" w:line="260"/>
      </w:pPr>
      <w:r>
        <w:rPr>
          <w:rFonts w:ascii="Calibri" w:cs="Calibri" w:eastAsia="Calibri" w:hAnsi="Calibri"/>
          <w:sz w:val="20"/>
          <w:szCs w:val="20"/>
        </w:rPr>
        <w:t xml:space="preserve">Refus de l'instrumentalisation marketing du mécénat.</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Budget total / CA</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mécénat dans budget total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Engagements pluriannuels actifs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Reporting bénéficiaires reçus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engagements renouvelés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liées aux partenariats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bl>
    <w:p>
      <w:pPr>
        <w:spacing w:after="160" w:before="240"/>
      </w:pPr>
      <w:r>
        <w:rPr>
          <w:rFonts w:ascii="Calibri" w:cs="Calibri" w:eastAsia="Calibri" w:hAnsi="Calibri"/>
          <w:b/>
          <w:bCs/>
          <w:color w:val="1F4E79"/>
          <w:sz w:val="32"/>
          <w:szCs w:val="32"/>
        </w:rPr>
        <w:t xml:space="preserve">10. Engagements éthiques</w:t>
      </w:r>
    </w:p>
    <w:p>
      <w:pPr>
        <w:pStyle w:val="ListParagraph"/>
        <w:numPr>
          <w:ilvl w:val="0"/>
          <w:numId w:val="2"/>
        </w:numPr>
        <w:spacing w:after="60" w:line="260"/>
      </w:pPr>
      <w:r>
        <w:rPr>
          <w:rFonts w:ascii="Calibri" w:cs="Calibri" w:eastAsia="Calibri" w:hAnsi="Calibri"/>
          <w:sz w:val="20"/>
          <w:szCs w:val="20"/>
        </w:rPr>
        <w:t xml:space="preserve">Refus du greenwashing par sponsoring.</w:t>
      </w:r>
    </w:p>
    <w:p>
      <w:pPr>
        <w:pStyle w:val="ListParagraph"/>
        <w:numPr>
          <w:ilvl w:val="0"/>
          <w:numId w:val="2"/>
        </w:numPr>
        <w:spacing w:after="60" w:line="260"/>
      </w:pPr>
      <w:r>
        <w:rPr>
          <w:rFonts w:ascii="Calibri" w:cs="Calibri" w:eastAsia="Calibri" w:hAnsi="Calibri"/>
          <w:sz w:val="20"/>
          <w:szCs w:val="20"/>
        </w:rPr>
        <w:t xml:space="preserve">Refus du token-isme (sponsoring symbolique sans engagement réel).</w:t>
      </w:r>
    </w:p>
    <w:p>
      <w:pPr>
        <w:pStyle w:val="ListParagraph"/>
        <w:numPr>
          <w:ilvl w:val="0"/>
          <w:numId w:val="2"/>
        </w:numPr>
        <w:spacing w:after="60" w:line="260"/>
      </w:pPr>
      <w:r>
        <w:rPr>
          <w:rFonts w:ascii="Calibri" w:cs="Calibri" w:eastAsia="Calibri" w:hAnsi="Calibri"/>
          <w:sz w:val="20"/>
          <w:szCs w:val="20"/>
        </w:rPr>
        <w:t xml:space="preserve">Refus de la sur-communication.</w:t>
      </w:r>
    </w:p>
    <w:p>
      <w:pPr>
        <w:pStyle w:val="ListParagraph"/>
        <w:numPr>
          <w:ilvl w:val="0"/>
          <w:numId w:val="2"/>
        </w:numPr>
        <w:spacing w:after="60" w:line="260"/>
      </w:pPr>
      <w:r>
        <w:rPr>
          <w:rFonts w:ascii="Calibri" w:cs="Calibri" w:eastAsia="Calibri" w:hAnsi="Calibri"/>
          <w:sz w:val="20"/>
          <w:szCs w:val="20"/>
        </w:rPr>
        <w:t xml:space="preserve">Engagement à mesurer l'impact réel.</w:t>
      </w:r>
    </w:p>
    <w:p>
      <w:pPr>
        <w:pStyle w:val="ListParagraph"/>
        <w:numPr>
          <w:ilvl w:val="0"/>
          <w:numId w:val="2"/>
        </w:numPr>
        <w:spacing w:after="60" w:line="260"/>
      </w:pPr>
      <w:r>
        <w:rPr>
          <w:rFonts w:ascii="Calibri" w:cs="Calibri" w:eastAsia="Calibri" w:hAnsi="Calibri"/>
          <w:sz w:val="20"/>
          <w:szCs w:val="20"/>
        </w:rPr>
        <w:t xml:space="preserve">Refus du conflit d'intérêts.</w:t>
      </w:r>
    </w:p>
    <w:p>
      <w:pPr>
        <w:pStyle w:val="ListParagraph"/>
        <w:numPr>
          <w:ilvl w:val="0"/>
          <w:numId w:val="2"/>
        </w:numPr>
        <w:spacing w:after="60" w:line="260"/>
      </w:pPr>
      <w:r>
        <w:rPr>
          <w:rFonts w:ascii="Calibri" w:cs="Calibri" w:eastAsia="Calibri" w:hAnsi="Calibri"/>
          <w:sz w:val="20"/>
          <w:szCs w:val="20"/>
        </w:rPr>
        <w:t xml:space="preserve">Refus du paiement de causes contraires aux valeurs Eventy.</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RSE, Plan de partenariats institutionnels, Note expert-comptable, Politique conflits d'intérêts, Politique anti-corruption, Charte engagement carbone, Politique accessibilité PMR, Charte d'inclusion et diversité.</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sponsoring et mécénat</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sponsoring et mécénat</dc:title>
  <dc:creator>David Eventy — Eventy Life SAS</dc:creator>
  <dc:description>Règles d'engagement Eventy auprès de causes et associations.</dc:description>
  <cp:lastModifiedBy>Un-named</cp:lastModifiedBy>
  <cp:revision>1</cp:revision>
  <dcterms:created xsi:type="dcterms:W3CDTF">2026-05-02T04:22:58.379Z</dcterms:created>
  <dcterms:modified xsi:type="dcterms:W3CDTF">2026-05-02T04:22:58.379Z</dcterms:modified>
</cp:coreProperties>
</file>

<file path=docProps/custom.xml><?xml version="1.0" encoding="utf-8"?>
<Properties xmlns="http://schemas.openxmlformats.org/officeDocument/2006/custom-properties" xmlns:vt="http://schemas.openxmlformats.org/officeDocument/2006/docPropsVTypes"/>
</file>