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8"/>
              <w:left w:val="single" w:color="2C5F2D" w:sz="18"/>
              <w:bottom w:val="single" w:color="2C5F2D" w:sz="18"/>
              <w:right w:val="single" w:color="2C5F2D"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2C5F2D"/>
                <w:sz w:val="28"/>
                <w:szCs w:val="28"/>
              </w:rPr>
              <w:t xml:space="preserve">POLITIQUE RSE EVENTY LIFE</w:t>
            </w:r>
          </w:p>
          <w:p>
            <w:pPr>
              <w:spacing w:after="0"/>
              <w:jc w:val="center"/>
            </w:pPr>
            <w:r>
              <w:rPr>
                <w:rFonts w:ascii="Calibri" w:cs="Calibri" w:eastAsia="Calibri" w:hAnsi="Calibri"/>
                <w:i/>
                <w:iCs/>
                <w:color w:val="1F4E79"/>
                <w:sz w:val="18"/>
                <w:szCs w:val="18"/>
              </w:rPr>
              <w:t xml:space="preserve">Responsabilité Sociétale d'Entreprise — engagements et indicateurs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C5F2D" w:sz="18"/>
              <w:left w:val="double" w:color="2C5F2D" w:sz="18"/>
              <w:bottom w:val="double" w:color="2C5F2D" w:sz="18"/>
              <w:right w:val="double" w:color="2C5F2D" w:sz="18"/>
            </w:tcBorders>
            <w:shd w:fill="E5EDD9" w:val="clear"/>
            <w:tcMar>
              <w:top w:type="dxa" w:w="200"/>
              <w:left w:type="dxa" w:w="360"/>
              <w:bottom w:type="dxa" w:w="200"/>
              <w:right w:type="dxa" w:w="360"/>
            </w:tcMar>
          </w:tcPr>
          <w:p>
            <w:pPr>
              <w:spacing w:after="120"/>
              <w:jc w:val="center"/>
            </w:pPr>
            <w:r>
              <w:rPr>
                <w:rFonts w:ascii="Calibri" w:cs="Calibri" w:eastAsia="Calibri" w:hAnsi="Calibri"/>
                <w:b/>
                <w:bCs/>
                <w:color w:val="2C5F2D"/>
                <w:sz w:val="24"/>
                <w:szCs w:val="24"/>
              </w:rPr>
              <w:t xml:space="preserve">L'ENGAGEMENT RSE EVENTY LIFE</w:t>
            </w:r>
          </w:p>
          <w:p>
            <w:pPr>
              <w:spacing w:after="80"/>
              <w:jc w:val="center"/>
            </w:pPr>
            <w:r>
              <w:rPr>
                <w:rFonts w:ascii="Calibri" w:cs="Calibri" w:eastAsia="Calibri" w:hAnsi="Calibri"/>
                <w:b/>
                <w:bCs/>
                <w:i/>
                <w:iCs/>
                <w:color w:val="E87722"/>
                <w:sz w:val="24"/>
                <w:szCs w:val="24"/>
              </w:rPr>
              <w:t xml:space="preserve">« Faire tourner la valeur, plutôt que l'extraire. »</w:t>
            </w:r>
          </w:p>
          <w:p>
            <w:pPr>
              <w:spacing w:after="0"/>
              <w:jc w:val="both"/>
            </w:pPr>
            <w:r>
              <w:rPr>
                <w:rFonts w:ascii="Calibri" w:cs="Calibri" w:eastAsia="Calibri" w:hAnsi="Calibri"/>
                <w:b w:val="false"/>
                <w:bCs w:val="false"/>
                <w:i/>
                <w:iCs/>
                <w:color w:val="1A1A1A"/>
                <w:sz w:val="20"/>
                <w:szCs w:val="20"/>
              </w:rPr>
              <w:t xml:space="preserve">Eventy Life intègre la Responsabilité Sociétale d'Entreprise au cœur de son modèle économique. Notre RSE n'est pas une politique ajoutée — elle est constitutive de notre architecture distribuée et de notre vision du voyage.</w:t>
            </w:r>
          </w:p>
        </w:tc>
      </w:tr>
    </w:tbl>
    <w:p>
      <w:pPr>
        <w:spacing w:after="160"/>
      </w:pPr>
      <w:r>
        <w:t xml:space="preserve"/>
      </w:r>
    </w:p>
    <w:p>
      <w:pPr>
        <w:spacing w:after="100" w:line="280"/>
        <w:jc w:val="both"/>
      </w:pPr>
      <w:r>
        <w:rPr>
          <w:rFonts w:ascii="Calibri" w:cs="Calibri" w:eastAsia="Calibri" w:hAnsi="Calibri"/>
          <w:color w:val="1A1A1A"/>
          <w:sz w:val="20"/>
          <w:szCs w:val="20"/>
        </w:rPr>
        <w:t xml:space="preserve">La présente politique RSE formalise les engagements d'EVENTY LIFE SAS au regard des trois piliers du développement durable (économique, social, environnemental) et des principes de gouvernance responsable. Elle est destinée à être communiquée aux investisseurs, partenaires institutionnels, organismes de subvention publique, voyageurs et collaborateurs.</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Norme ISO 26000 — lignes directrices relatives à la responsabilité sociétale.</w:t>
      </w:r>
    </w:p>
    <w:p>
      <w:pPr>
        <w:pStyle w:val="ListParagraph"/>
        <w:numPr>
          <w:ilvl w:val="0"/>
          <w:numId w:val="2"/>
        </w:numPr>
        <w:spacing w:after="60" w:line="260"/>
      </w:pPr>
      <w:r>
        <w:rPr>
          <w:rFonts w:ascii="Calibri" w:cs="Calibri" w:eastAsia="Calibri" w:hAnsi="Calibri"/>
          <w:sz w:val="20"/>
          <w:szCs w:val="20"/>
        </w:rPr>
        <w:t xml:space="preserve">17 Objectifs de Développement Durable (ODD) de l'ONU à l'horizon 2030.</w:t>
      </w:r>
    </w:p>
    <w:p>
      <w:pPr>
        <w:pStyle w:val="ListParagraph"/>
        <w:numPr>
          <w:ilvl w:val="0"/>
          <w:numId w:val="2"/>
        </w:numPr>
        <w:spacing w:after="60" w:line="260"/>
      </w:pPr>
      <w:r>
        <w:rPr>
          <w:rFonts w:ascii="Calibri" w:cs="Calibri" w:eastAsia="Calibri" w:hAnsi="Calibri"/>
          <w:sz w:val="20"/>
          <w:szCs w:val="20"/>
        </w:rPr>
        <w:t xml:space="preserve">Code du Tourisme — articles relatifs à l'éthique et à la durabilité du tourisme.</w:t>
      </w:r>
    </w:p>
    <w:p>
      <w:pPr>
        <w:pStyle w:val="ListParagraph"/>
        <w:numPr>
          <w:ilvl w:val="0"/>
          <w:numId w:val="2"/>
        </w:numPr>
        <w:spacing w:after="60" w:line="260"/>
      </w:pPr>
      <w:r>
        <w:rPr>
          <w:rFonts w:ascii="Calibri" w:cs="Calibri" w:eastAsia="Calibri" w:hAnsi="Calibri"/>
          <w:sz w:val="20"/>
          <w:szCs w:val="20"/>
        </w:rPr>
        <w:t xml:space="preserve">Charte mondiale du tourisme durable (UNESCO, OMT, ICOMOS).</w:t>
      </w:r>
    </w:p>
    <w:p>
      <w:pPr>
        <w:pStyle w:val="ListParagraph"/>
        <w:numPr>
          <w:ilvl w:val="0"/>
          <w:numId w:val="2"/>
        </w:numPr>
        <w:spacing w:after="60" w:line="260"/>
      </w:pPr>
      <w:r>
        <w:rPr>
          <w:rFonts w:ascii="Calibri" w:cs="Calibri" w:eastAsia="Calibri" w:hAnsi="Calibri"/>
          <w:sz w:val="20"/>
          <w:szCs w:val="20"/>
        </w:rPr>
        <w:t xml:space="preserve">Pacte mondial des Nations Unies — 10 principes fondateurs.</w:t>
      </w:r>
    </w:p>
    <w:p>
      <w:pPr>
        <w:spacing w:after="160" w:before="240"/>
      </w:pPr>
      <w:r>
        <w:rPr>
          <w:rFonts w:ascii="Calibri" w:cs="Calibri" w:eastAsia="Calibri" w:hAnsi="Calibri"/>
          <w:b/>
          <w:bCs/>
          <w:color w:val="1F4E79"/>
          <w:sz w:val="32"/>
          <w:szCs w:val="32"/>
        </w:rPr>
        <w:t xml:space="preserve">2. Pilier économique — un modèle distribué qui fait circuler la valeur</w:t>
      </w:r>
    </w:p>
    <w:p>
      <w:pPr>
        <w:spacing w:after="100" w:before="220"/>
      </w:pPr>
      <w:r>
        <w:rPr>
          <w:rFonts w:ascii="Calibri" w:cs="Calibri" w:eastAsia="Calibri" w:hAnsi="Calibri"/>
          <w:b/>
          <w:bCs/>
          <w:color w:val="E87722"/>
          <w:sz w:val="22"/>
          <w:szCs w:val="22"/>
        </w:rPr>
        <w:t xml:space="preserve">2.1. Architecture distribuée des marges</w:t>
      </w:r>
    </w:p>
    <w:p>
      <w:pPr>
        <w:spacing w:after="100" w:line="280"/>
        <w:jc w:val="both"/>
      </w:pPr>
      <w:r>
        <w:rPr>
          <w:rFonts w:ascii="Calibri" w:cs="Calibri" w:eastAsia="Calibri" w:hAnsi="Calibri"/>
          <w:color w:val="1A1A1A"/>
          <w:sz w:val="20"/>
          <w:szCs w:val="20"/>
        </w:rPr>
        <w:t xml:space="preserve">Eventy Life pratique un modèle économique distribué qui redistribue mécaniquement, et avant toute charge interne, une part substantielle de son chiffre d'affaires aux indépendants français et aux acteurs de l'économie locale :</w:t>
      </w:r>
    </w:p>
    <w:p>
      <w:pPr>
        <w:pStyle w:val="ListParagraph"/>
        <w:numPr>
          <w:ilvl w:val="0"/>
          <w:numId w:val="2"/>
        </w:numPr>
        <w:spacing w:after="60" w:line="260"/>
      </w:pPr>
      <w:r>
        <w:rPr>
          <w:rFonts w:ascii="Calibri" w:cs="Calibri" w:eastAsia="Calibri" w:hAnsi="Calibri"/>
          <w:sz w:val="20"/>
          <w:szCs w:val="20"/>
        </w:rPr>
        <w:t xml:space="preserve">Vendeurs (5 % HT du CA voyage) : auto-entrepreneurs et micro-entreprises français.</w:t>
      </w:r>
    </w:p>
    <w:p>
      <w:pPr>
        <w:pStyle w:val="ListParagraph"/>
        <w:numPr>
          <w:ilvl w:val="0"/>
          <w:numId w:val="2"/>
        </w:numPr>
        <w:spacing w:after="60" w:line="260"/>
      </w:pPr>
      <w:r>
        <w:rPr>
          <w:rFonts w:ascii="Calibri" w:cs="Calibri" w:eastAsia="Calibri" w:hAnsi="Calibri"/>
          <w:sz w:val="20"/>
          <w:szCs w:val="20"/>
        </w:rPr>
        <w:t xml:space="preserve">Créateurs (3 pts sur HRA refacturé) : auto-entrepreneurs et micro-entreprises français.</w:t>
      </w:r>
    </w:p>
    <w:p>
      <w:pPr>
        <w:pStyle w:val="ListParagraph"/>
        <w:numPr>
          <w:ilvl w:val="0"/>
          <w:numId w:val="2"/>
        </w:numPr>
        <w:spacing w:after="60" w:line="260"/>
      </w:pPr>
      <w:r>
        <w:rPr>
          <w:rFonts w:ascii="Calibri" w:cs="Calibri" w:eastAsia="Calibri" w:hAnsi="Calibri"/>
          <w:sz w:val="20"/>
          <w:szCs w:val="20"/>
        </w:rPr>
        <w:t xml:space="preserve">Partenaires HRA français privilégiés au démarrage (hôtels, restaurants, activités).</w:t>
      </w:r>
    </w:p>
    <w:p>
      <w:pPr>
        <w:pStyle w:val="ListParagraph"/>
        <w:numPr>
          <w:ilvl w:val="0"/>
          <w:numId w:val="2"/>
        </w:numPr>
        <w:spacing w:after="60" w:line="260"/>
      </w:pPr>
      <w:r>
        <w:rPr>
          <w:rFonts w:ascii="Calibri" w:cs="Calibri" w:eastAsia="Calibri" w:hAnsi="Calibri"/>
          <w:sz w:val="20"/>
          <w:szCs w:val="20"/>
        </w:rPr>
        <w:t xml:space="preserve">Autocaristes français pour le transport routier groupe.</w:t>
      </w:r>
    </w:p>
    <w:p>
      <w:pPr>
        <w:spacing w:after="100" w:before="220"/>
      </w:pPr>
      <w:r>
        <w:rPr>
          <w:rFonts w:ascii="Calibri" w:cs="Calibri" w:eastAsia="Calibri" w:hAnsi="Calibri"/>
          <w:b/>
          <w:bCs/>
          <w:color w:val="E87722"/>
          <w:sz w:val="22"/>
          <w:szCs w:val="22"/>
        </w:rPr>
        <w:t xml:space="preserve">2.2. Engagements chiffrés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Engagement</w:t>
            </w:r>
          </w:p>
        </w:tc>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 / An 5</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brute Eventy plafonnée</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11 % du CA voyage (max 12 %)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Plancher de redistribution aux indépendants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Minimum 6 % du CA voyage</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sur cartes / énergie / gamification</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Zéro — strictement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maximum de versement aux indépendants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21 jours après livraison</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maximum de versement aux HRA</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jours fin de mois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Réserve volontaire « risques tourisme »</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 du CA annuel</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Transparence prix au voyageur</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Décomposition publique sur fiche voyage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Redistribution annuelle An 1</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1,1 M€ (6,8 % du CA An 1)</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Redistribution annuelle An 5</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21,8 M€ (6,8 % du CA An 5)</w:t>
            </w:r>
          </w:p>
        </w:tc>
      </w:tr>
    </w:tbl>
    <w:p>
      <w:pPr>
        <w:spacing w:after="100" w:before="220"/>
      </w:pPr>
      <w:r>
        <w:rPr>
          <w:rFonts w:ascii="Calibri" w:cs="Calibri" w:eastAsia="Calibri" w:hAnsi="Calibri"/>
          <w:b/>
          <w:bCs/>
          <w:color w:val="E87722"/>
          <w:sz w:val="22"/>
          <w:szCs w:val="22"/>
        </w:rPr>
        <w:t xml:space="preserve">2.3. Économie circulaire territoriale</w:t>
      </w:r>
    </w:p>
    <w:p>
      <w:pPr>
        <w:spacing w:after="100" w:line="280"/>
        <w:jc w:val="both"/>
      </w:pPr>
      <w:r>
        <w:rPr>
          <w:rFonts w:ascii="Calibri" w:cs="Calibri" w:eastAsia="Calibri" w:hAnsi="Calibri"/>
          <w:color w:val="1A1A1A"/>
          <w:sz w:val="20"/>
          <w:szCs w:val="20"/>
        </w:rPr>
        <w:t xml:space="preserve">Sur 100 € payés par un voyageur Eventy An 1, environ 88,9 € retournent à l'économie réelle française et européenne. Aucun euro ne transite par une plateforme extra-européenne. Cette circulation territoriale soutient :</w:t>
      </w:r>
    </w:p>
    <w:p>
      <w:pPr>
        <w:pStyle w:val="ListParagraph"/>
        <w:numPr>
          <w:ilvl w:val="0"/>
          <w:numId w:val="2"/>
        </w:numPr>
        <w:spacing w:after="60" w:line="260"/>
      </w:pPr>
      <w:r>
        <w:rPr>
          <w:rFonts w:ascii="Calibri" w:cs="Calibri" w:eastAsia="Calibri" w:hAnsi="Calibri"/>
          <w:sz w:val="20"/>
          <w:szCs w:val="20"/>
        </w:rPr>
        <w:t xml:space="preserve">L'emploi local (autocaristes, hôteliers, restaurateurs, guides).</w:t>
      </w:r>
    </w:p>
    <w:p>
      <w:pPr>
        <w:pStyle w:val="ListParagraph"/>
        <w:numPr>
          <w:ilvl w:val="0"/>
          <w:numId w:val="2"/>
        </w:numPr>
        <w:spacing w:after="60" w:line="260"/>
      </w:pPr>
      <w:r>
        <w:rPr>
          <w:rFonts w:ascii="Calibri" w:cs="Calibri" w:eastAsia="Calibri" w:hAnsi="Calibri"/>
          <w:sz w:val="20"/>
          <w:szCs w:val="20"/>
        </w:rPr>
        <w:t xml:space="preserve">Les indépendants français (créateurs, vendeurs, accompagnateurs).</w:t>
      </w:r>
    </w:p>
    <w:p>
      <w:pPr>
        <w:pStyle w:val="ListParagraph"/>
        <w:numPr>
          <w:ilvl w:val="0"/>
          <w:numId w:val="2"/>
        </w:numPr>
        <w:spacing w:after="60" w:line="260"/>
      </w:pPr>
      <w:r>
        <w:rPr>
          <w:rFonts w:ascii="Calibri" w:cs="Calibri" w:eastAsia="Calibri" w:hAnsi="Calibri"/>
          <w:sz w:val="20"/>
          <w:szCs w:val="20"/>
        </w:rPr>
        <w:t xml:space="preserve">Les communes (taxes de séjour) et collectivités locales.</w:t>
      </w:r>
    </w:p>
    <w:p>
      <w:pPr>
        <w:pStyle w:val="ListParagraph"/>
        <w:numPr>
          <w:ilvl w:val="0"/>
          <w:numId w:val="2"/>
        </w:numPr>
        <w:spacing w:after="60" w:line="260"/>
      </w:pPr>
      <w:r>
        <w:rPr>
          <w:rFonts w:ascii="Calibri" w:cs="Calibri" w:eastAsia="Calibri" w:hAnsi="Calibri"/>
          <w:sz w:val="20"/>
          <w:szCs w:val="20"/>
        </w:rPr>
        <w:t xml:space="preserve">Les fournisseurs intermédiaires (assureurs, plateformes de paiement français).</w:t>
      </w:r>
    </w:p>
    <w:p>
      <w:pPr>
        <w:spacing w:after="160" w:before="240"/>
      </w:pPr>
      <w:r>
        <w:rPr>
          <w:rFonts w:ascii="Calibri" w:cs="Calibri" w:eastAsia="Calibri" w:hAnsi="Calibri"/>
          <w:b/>
          <w:bCs/>
          <w:color w:val="1F4E79"/>
          <w:sz w:val="32"/>
          <w:szCs w:val="32"/>
        </w:rPr>
        <w:t xml:space="preserve">3. Pilier social — humain avant tout</w:t>
      </w:r>
    </w:p>
    <w:p>
      <w:pPr>
        <w:spacing w:after="100" w:before="220"/>
      </w:pPr>
      <w:r>
        <w:rPr>
          <w:rFonts w:ascii="Calibri" w:cs="Calibri" w:eastAsia="Calibri" w:hAnsi="Calibri"/>
          <w:b/>
          <w:bCs/>
          <w:color w:val="E87722"/>
          <w:sz w:val="22"/>
          <w:szCs w:val="22"/>
        </w:rPr>
        <w:t xml:space="preserve">3.1. Voyageurs</w:t>
      </w:r>
    </w:p>
    <w:p>
      <w:pPr>
        <w:pStyle w:val="ListParagraph"/>
        <w:numPr>
          <w:ilvl w:val="0"/>
          <w:numId w:val="2"/>
        </w:numPr>
        <w:spacing w:after="60" w:line="260"/>
      </w:pPr>
      <w:r>
        <w:rPr>
          <w:rFonts w:ascii="Calibri" w:cs="Calibri" w:eastAsia="Calibri" w:hAnsi="Calibri"/>
          <w:sz w:val="20"/>
          <w:szCs w:val="20"/>
        </w:rPr>
        <w:t xml:space="preserve">Pack Sérénité INCLUS dans tous les voyages — protection maximale sans surcoût.</w:t>
      </w:r>
    </w:p>
    <w:p>
      <w:pPr>
        <w:pStyle w:val="ListParagraph"/>
        <w:numPr>
          <w:ilvl w:val="0"/>
          <w:numId w:val="2"/>
        </w:numPr>
        <w:spacing w:after="60" w:line="260"/>
      </w:pPr>
      <w:r>
        <w:rPr>
          <w:rFonts w:ascii="Calibri" w:cs="Calibri" w:eastAsia="Calibri" w:hAnsi="Calibri"/>
          <w:sz w:val="20"/>
          <w:szCs w:val="20"/>
        </w:rPr>
        <w:t xml:space="preserve">Accompagnateur humain présent du premier au dernier kilomètre — porte-à-porte.</w:t>
      </w:r>
    </w:p>
    <w:p>
      <w:pPr>
        <w:pStyle w:val="ListParagraph"/>
        <w:numPr>
          <w:ilvl w:val="0"/>
          <w:numId w:val="2"/>
        </w:numPr>
        <w:spacing w:after="60" w:line="260"/>
      </w:pPr>
      <w:r>
        <w:rPr>
          <w:rFonts w:ascii="Calibri" w:cs="Calibri" w:eastAsia="Calibri" w:hAnsi="Calibri"/>
          <w:sz w:val="20"/>
          <w:szCs w:val="20"/>
        </w:rPr>
        <w:t xml:space="preserve">Ligne d'urgence 24/7 disponible pendant la durée du voyage et 48 heures après le retour.</w:t>
      </w:r>
    </w:p>
    <w:p>
      <w:pPr>
        <w:pStyle w:val="ListParagraph"/>
        <w:numPr>
          <w:ilvl w:val="0"/>
          <w:numId w:val="2"/>
        </w:numPr>
        <w:spacing w:after="60" w:line="260"/>
      </w:pPr>
      <w:r>
        <w:rPr>
          <w:rFonts w:ascii="Calibri" w:cs="Calibri" w:eastAsia="Calibri" w:hAnsi="Calibri"/>
          <w:sz w:val="20"/>
          <w:szCs w:val="20"/>
        </w:rPr>
        <w:t xml:space="preserve">Médiation MTV gratuite en cas de litige non résolu.</w:t>
      </w:r>
    </w:p>
    <w:p>
      <w:pPr>
        <w:pStyle w:val="ListParagraph"/>
        <w:numPr>
          <w:ilvl w:val="0"/>
          <w:numId w:val="2"/>
        </w:numPr>
        <w:spacing w:after="60" w:line="260"/>
      </w:pPr>
      <w:r>
        <w:rPr>
          <w:rFonts w:ascii="Calibri" w:cs="Calibri" w:eastAsia="Calibri" w:hAnsi="Calibri"/>
          <w:sz w:val="20"/>
          <w:szCs w:val="20"/>
        </w:rPr>
        <w:t xml:space="preserve">Accessibilité PMR documentée et signalée pour chaque voyage (engagement de transparence).</w:t>
      </w:r>
    </w:p>
    <w:p>
      <w:pPr>
        <w:pStyle w:val="ListParagraph"/>
        <w:numPr>
          <w:ilvl w:val="0"/>
          <w:numId w:val="2"/>
        </w:numPr>
        <w:spacing w:after="60" w:line="260"/>
      </w:pPr>
      <w:r>
        <w:rPr>
          <w:rFonts w:ascii="Calibri" w:cs="Calibri" w:eastAsia="Calibri" w:hAnsi="Calibri"/>
          <w:sz w:val="20"/>
          <w:szCs w:val="20"/>
        </w:rPr>
        <w:t xml:space="preserve">Politique anti-discrimination : aucun voyageur n'est refusé au motif de son origine, religion, orientation sexuelle, handicap, situation familiale ou opinion politique.</w:t>
      </w:r>
    </w:p>
    <w:p>
      <w:pPr>
        <w:spacing w:after="100" w:before="220"/>
      </w:pPr>
      <w:r>
        <w:rPr>
          <w:rFonts w:ascii="Calibri" w:cs="Calibri" w:eastAsia="Calibri" w:hAnsi="Calibri"/>
          <w:b/>
          <w:bCs/>
          <w:color w:val="E87722"/>
          <w:sz w:val="22"/>
          <w:szCs w:val="22"/>
        </w:rPr>
        <w:t xml:space="preserve">3.2. Indépendants partenaires</w:t>
      </w:r>
    </w:p>
    <w:p>
      <w:pPr>
        <w:pStyle w:val="ListParagraph"/>
        <w:numPr>
          <w:ilvl w:val="0"/>
          <w:numId w:val="2"/>
        </w:numPr>
        <w:spacing w:after="60" w:line="260"/>
      </w:pPr>
      <w:r>
        <w:rPr>
          <w:rFonts w:ascii="Calibri" w:cs="Calibri" w:eastAsia="Calibri" w:hAnsi="Calibri"/>
          <w:sz w:val="20"/>
          <w:szCs w:val="20"/>
        </w:rPr>
        <w:t xml:space="preserve">Liberté économique : aucune clause d'exclusivité par défaut, indépendance préservée.</w:t>
      </w:r>
    </w:p>
    <w:p>
      <w:pPr>
        <w:pStyle w:val="ListParagraph"/>
        <w:numPr>
          <w:ilvl w:val="0"/>
          <w:numId w:val="2"/>
        </w:numPr>
        <w:spacing w:after="60" w:line="260"/>
      </w:pPr>
      <w:r>
        <w:rPr>
          <w:rFonts w:ascii="Calibri" w:cs="Calibri" w:eastAsia="Calibri" w:hAnsi="Calibri"/>
          <w:sz w:val="20"/>
          <w:szCs w:val="20"/>
        </w:rPr>
        <w:t xml:space="preserve">Rémunération transparente et payée dans les délais (21 à 30 jours).</w:t>
      </w:r>
    </w:p>
    <w:p>
      <w:pPr>
        <w:pStyle w:val="ListParagraph"/>
        <w:numPr>
          <w:ilvl w:val="0"/>
          <w:numId w:val="2"/>
        </w:numPr>
        <w:spacing w:after="60" w:line="260"/>
      </w:pPr>
      <w:r>
        <w:rPr>
          <w:rFonts w:ascii="Calibri" w:cs="Calibri" w:eastAsia="Calibri" w:hAnsi="Calibri"/>
          <w:sz w:val="20"/>
          <w:szCs w:val="20"/>
        </w:rPr>
        <w:t xml:space="preserve">Charte qualité opposable à Eventy autant qu'au partenaire.</w:t>
      </w:r>
    </w:p>
    <w:p>
      <w:pPr>
        <w:pStyle w:val="ListParagraph"/>
        <w:numPr>
          <w:ilvl w:val="0"/>
          <w:numId w:val="2"/>
        </w:numPr>
        <w:spacing w:after="60" w:line="260"/>
      </w:pPr>
      <w:r>
        <w:rPr>
          <w:rFonts w:ascii="Calibri" w:cs="Calibri" w:eastAsia="Calibri" w:hAnsi="Calibri"/>
          <w:sz w:val="20"/>
          <w:szCs w:val="20"/>
        </w:rPr>
        <w:t xml:space="preserve">Formation initiale gratuite pour les créateurs.</w:t>
      </w:r>
    </w:p>
    <w:p>
      <w:pPr>
        <w:pStyle w:val="ListParagraph"/>
        <w:numPr>
          <w:ilvl w:val="0"/>
          <w:numId w:val="2"/>
        </w:numPr>
        <w:spacing w:after="60" w:line="260"/>
      </w:pPr>
      <w:r>
        <w:rPr>
          <w:rFonts w:ascii="Calibri" w:cs="Calibri" w:eastAsia="Calibri" w:hAnsi="Calibri"/>
          <w:sz w:val="20"/>
          <w:szCs w:val="20"/>
        </w:rPr>
        <w:t xml:space="preserve">Soutien opérationnel via la plateforme et la ligne 24/7.</w:t>
      </w:r>
    </w:p>
    <w:p>
      <w:pPr>
        <w:pStyle w:val="ListParagraph"/>
        <w:numPr>
          <w:ilvl w:val="0"/>
          <w:numId w:val="2"/>
        </w:numPr>
        <w:spacing w:after="60" w:line="260"/>
      </w:pPr>
      <w:r>
        <w:rPr>
          <w:rFonts w:ascii="Calibri" w:cs="Calibri" w:eastAsia="Calibri" w:hAnsi="Calibri"/>
          <w:sz w:val="20"/>
          <w:szCs w:val="20"/>
        </w:rPr>
        <w:t xml:space="preserve">Possibilité de cumul des rôles (créateur + vendeur, HRA + vendeur) — écosystème ouvert.</w:t>
      </w:r>
    </w:p>
    <w:p>
      <w:pPr>
        <w:spacing w:after="100" w:before="220"/>
      </w:pPr>
      <w:r>
        <w:rPr>
          <w:rFonts w:ascii="Calibri" w:cs="Calibri" w:eastAsia="Calibri" w:hAnsi="Calibri"/>
          <w:b/>
          <w:bCs/>
          <w:color w:val="E87722"/>
          <w:sz w:val="22"/>
          <w:szCs w:val="22"/>
        </w:rPr>
        <w:t xml:space="preserve">3.3. Équipe interne</w:t>
      </w:r>
    </w:p>
    <w:p>
      <w:pPr>
        <w:pStyle w:val="ListParagraph"/>
        <w:numPr>
          <w:ilvl w:val="0"/>
          <w:numId w:val="2"/>
        </w:numPr>
        <w:spacing w:after="60" w:line="260"/>
      </w:pPr>
      <w:r>
        <w:rPr>
          <w:rFonts w:ascii="Calibri" w:cs="Calibri" w:eastAsia="Calibri" w:hAnsi="Calibri"/>
          <w:sz w:val="20"/>
          <w:szCs w:val="20"/>
        </w:rPr>
        <w:t xml:space="preserve">Politique de rémunération équitable (écart maximum 1-5 entre rémunération minimale et celle du dirigeant).</w:t>
      </w:r>
    </w:p>
    <w:p>
      <w:pPr>
        <w:pStyle w:val="ListParagraph"/>
        <w:numPr>
          <w:ilvl w:val="0"/>
          <w:numId w:val="2"/>
        </w:numPr>
        <w:spacing w:after="60" w:line="260"/>
      </w:pPr>
      <w:r>
        <w:rPr>
          <w:rFonts w:ascii="Calibri" w:cs="Calibri" w:eastAsia="Calibri" w:hAnsi="Calibri"/>
          <w:sz w:val="20"/>
          <w:szCs w:val="20"/>
        </w:rPr>
        <w:t xml:space="preserve">Engagement de plein temps du Fondateur — pas de cumul avec activité concurrente.</w:t>
      </w:r>
    </w:p>
    <w:p>
      <w:pPr>
        <w:pStyle w:val="ListParagraph"/>
        <w:numPr>
          <w:ilvl w:val="0"/>
          <w:numId w:val="2"/>
        </w:numPr>
        <w:spacing w:after="60" w:line="260"/>
      </w:pPr>
      <w:r>
        <w:rPr>
          <w:rFonts w:ascii="Calibri" w:cs="Calibri" w:eastAsia="Calibri" w:hAnsi="Calibri"/>
          <w:sz w:val="20"/>
          <w:szCs w:val="20"/>
        </w:rPr>
        <w:t xml:space="preserve">Plan de formation continue (21 heures par an minimum pour le dirigeant).</w:t>
      </w:r>
    </w:p>
    <w:p>
      <w:pPr>
        <w:pStyle w:val="ListParagraph"/>
        <w:numPr>
          <w:ilvl w:val="0"/>
          <w:numId w:val="2"/>
        </w:numPr>
        <w:spacing w:after="60" w:line="260"/>
      </w:pPr>
      <w:r>
        <w:rPr>
          <w:rFonts w:ascii="Calibri" w:cs="Calibri" w:eastAsia="Calibri" w:hAnsi="Calibri"/>
          <w:sz w:val="20"/>
          <w:szCs w:val="20"/>
        </w:rPr>
        <w:t xml:space="preserve">Recrutement diversifié — pas de discrimination à l'embauche.</w:t>
      </w:r>
    </w:p>
    <w:p>
      <w:pPr>
        <w:pStyle w:val="ListParagraph"/>
        <w:numPr>
          <w:ilvl w:val="0"/>
          <w:numId w:val="2"/>
        </w:numPr>
        <w:spacing w:after="60" w:line="260"/>
      </w:pPr>
      <w:r>
        <w:rPr>
          <w:rFonts w:ascii="Calibri" w:cs="Calibri" w:eastAsia="Calibri" w:hAnsi="Calibri"/>
          <w:sz w:val="20"/>
          <w:szCs w:val="20"/>
        </w:rPr>
        <w:t xml:space="preserve">Conditions de travail : télétravail possible, équilibre vie pro/perso respecté.</w:t>
      </w:r>
    </w:p>
    <w:p>
      <w:pPr>
        <w:pStyle w:val="ListParagraph"/>
        <w:numPr>
          <w:ilvl w:val="0"/>
          <w:numId w:val="2"/>
        </w:numPr>
        <w:spacing w:after="60" w:line="260"/>
      </w:pPr>
      <w:r>
        <w:rPr>
          <w:rFonts w:ascii="Calibri" w:cs="Calibri" w:eastAsia="Calibri" w:hAnsi="Calibri"/>
          <w:sz w:val="20"/>
          <w:szCs w:val="20"/>
        </w:rPr>
        <w:t xml:space="preserve">Pas de prime variable indexée sur le volume des fonds clients en transit (éviter les incitatifs pervers).</w:t>
      </w:r>
    </w:p>
    <w:p>
      <w:pPr>
        <w:spacing w:after="160" w:before="240"/>
      </w:pPr>
      <w:r>
        <w:rPr>
          <w:rFonts w:ascii="Calibri" w:cs="Calibri" w:eastAsia="Calibri" w:hAnsi="Calibri"/>
          <w:b/>
          <w:bCs/>
          <w:color w:val="1F4E79"/>
          <w:sz w:val="32"/>
          <w:szCs w:val="32"/>
        </w:rPr>
        <w:t xml:space="preserve">4. Pilier environnemental</w:t>
      </w:r>
    </w:p>
    <w:p>
      <w:pPr>
        <w:spacing w:after="100" w:before="220"/>
      </w:pPr>
      <w:r>
        <w:rPr>
          <w:rFonts w:ascii="Calibri" w:cs="Calibri" w:eastAsia="Calibri" w:hAnsi="Calibri"/>
          <w:b/>
          <w:bCs/>
          <w:color w:val="E87722"/>
          <w:sz w:val="22"/>
          <w:szCs w:val="22"/>
        </w:rPr>
        <w:t xml:space="preserve">4.1. Engagements transport</w:t>
      </w:r>
    </w:p>
    <w:p>
      <w:pPr>
        <w:pStyle w:val="ListParagraph"/>
        <w:numPr>
          <w:ilvl w:val="0"/>
          <w:numId w:val="2"/>
        </w:numPr>
        <w:spacing w:after="60" w:line="260"/>
      </w:pPr>
      <w:r>
        <w:rPr>
          <w:rFonts w:ascii="Calibri" w:cs="Calibri" w:eastAsia="Calibri" w:hAnsi="Calibri"/>
          <w:sz w:val="20"/>
          <w:szCs w:val="20"/>
        </w:rPr>
        <w:t xml:space="preserve">Préférence donnée au transport groupé en autocar (≈ 4× moins de CO₂ par voyageur que l'avion sur trajets équivalents).</w:t>
      </w:r>
    </w:p>
    <w:p>
      <w:pPr>
        <w:pStyle w:val="ListParagraph"/>
        <w:numPr>
          <w:ilvl w:val="0"/>
          <w:numId w:val="2"/>
        </w:numPr>
        <w:spacing w:after="60" w:line="260"/>
      </w:pPr>
      <w:r>
        <w:rPr>
          <w:rFonts w:ascii="Calibri" w:cs="Calibri" w:eastAsia="Calibri" w:hAnsi="Calibri"/>
          <w:sz w:val="20"/>
          <w:szCs w:val="20"/>
        </w:rPr>
        <w:t xml:space="preserve">Charter aérien A320 utilisé uniquement pour les destinations longues (&gt; 2 000 km) où le bus n'est pas pertinent.</w:t>
      </w:r>
    </w:p>
    <w:p>
      <w:pPr>
        <w:pStyle w:val="ListParagraph"/>
        <w:numPr>
          <w:ilvl w:val="0"/>
          <w:numId w:val="2"/>
        </w:numPr>
        <w:spacing w:after="60" w:line="260"/>
      </w:pPr>
      <w:r>
        <w:rPr>
          <w:rFonts w:ascii="Calibri" w:cs="Calibri" w:eastAsia="Calibri" w:hAnsi="Calibri"/>
          <w:sz w:val="20"/>
          <w:szCs w:val="20"/>
        </w:rPr>
        <w:t xml:space="preserve">Train SNCF privilégié pour les destinations françaises éloignées (Côte d'Azur, Pyrénées).</w:t>
      </w:r>
    </w:p>
    <w:p>
      <w:pPr>
        <w:pStyle w:val="ListParagraph"/>
        <w:numPr>
          <w:ilvl w:val="0"/>
          <w:numId w:val="2"/>
        </w:numPr>
        <w:spacing w:after="60" w:line="260"/>
      </w:pPr>
      <w:r>
        <w:rPr>
          <w:rFonts w:ascii="Calibri" w:cs="Calibri" w:eastAsia="Calibri" w:hAnsi="Calibri"/>
          <w:sz w:val="20"/>
          <w:szCs w:val="20"/>
        </w:rPr>
        <w:t xml:space="preserve">Optimisation des taux de remplissage (cible 38/53 places) pour réduire l'empreinte par voyageur.</w:t>
      </w:r>
    </w:p>
    <w:p>
      <w:pPr>
        <w:pStyle w:val="ListParagraph"/>
        <w:numPr>
          <w:ilvl w:val="0"/>
          <w:numId w:val="2"/>
        </w:numPr>
        <w:spacing w:after="60" w:line="260"/>
      </w:pPr>
      <w:r>
        <w:rPr>
          <w:rFonts w:ascii="Calibri" w:cs="Calibri" w:eastAsia="Calibri" w:hAnsi="Calibri"/>
          <w:sz w:val="20"/>
          <w:szCs w:val="20"/>
        </w:rPr>
        <w:t xml:space="preserve">Calcul et communication transparente de l'empreinte CO₂ par voyageur sur chaque fiche voyage (cible An 2).</w:t>
      </w:r>
    </w:p>
    <w:p>
      <w:pPr>
        <w:spacing w:after="100" w:before="220"/>
      </w:pPr>
      <w:r>
        <w:rPr>
          <w:rFonts w:ascii="Calibri" w:cs="Calibri" w:eastAsia="Calibri" w:hAnsi="Calibri"/>
          <w:b/>
          <w:bCs/>
          <w:color w:val="E87722"/>
          <w:sz w:val="22"/>
          <w:szCs w:val="22"/>
        </w:rPr>
        <w:t xml:space="preserve">4.2. Engagements hébergement et restauration</w:t>
      </w:r>
    </w:p>
    <w:p>
      <w:pPr>
        <w:pStyle w:val="ListParagraph"/>
        <w:numPr>
          <w:ilvl w:val="0"/>
          <w:numId w:val="2"/>
        </w:numPr>
        <w:spacing w:after="60" w:line="260"/>
      </w:pPr>
      <w:r>
        <w:rPr>
          <w:rFonts w:ascii="Calibri" w:cs="Calibri" w:eastAsia="Calibri" w:hAnsi="Calibri"/>
          <w:sz w:val="20"/>
          <w:szCs w:val="20"/>
        </w:rPr>
        <w:t xml:space="preserve">Privilège donné aux hôtels et restaurants engagés dans une démarche éco-responsable.</w:t>
      </w:r>
    </w:p>
    <w:p>
      <w:pPr>
        <w:pStyle w:val="ListParagraph"/>
        <w:numPr>
          <w:ilvl w:val="0"/>
          <w:numId w:val="2"/>
        </w:numPr>
        <w:spacing w:after="60" w:line="260"/>
      </w:pPr>
      <w:r>
        <w:rPr>
          <w:rFonts w:ascii="Calibri" w:cs="Calibri" w:eastAsia="Calibri" w:hAnsi="Calibri"/>
          <w:sz w:val="20"/>
          <w:szCs w:val="20"/>
        </w:rPr>
        <w:t xml:space="preserve">Critères d'éligibilité au référencement HRA incluant des questions environnementales (gestion des déchets, énergies renouvelables, circuit court).</w:t>
      </w:r>
    </w:p>
    <w:p>
      <w:pPr>
        <w:pStyle w:val="ListParagraph"/>
        <w:numPr>
          <w:ilvl w:val="0"/>
          <w:numId w:val="2"/>
        </w:numPr>
        <w:spacing w:after="60" w:line="260"/>
      </w:pPr>
      <w:r>
        <w:rPr>
          <w:rFonts w:ascii="Calibri" w:cs="Calibri" w:eastAsia="Calibri" w:hAnsi="Calibri"/>
          <w:sz w:val="20"/>
          <w:szCs w:val="20"/>
        </w:rPr>
        <w:t xml:space="preserve">Restaurateurs partenaires invités à proposer des produits frais et locaux (mise en avant sur les fiches voyage).</w:t>
      </w:r>
    </w:p>
    <w:p>
      <w:pPr>
        <w:pStyle w:val="ListParagraph"/>
        <w:numPr>
          <w:ilvl w:val="0"/>
          <w:numId w:val="2"/>
        </w:numPr>
        <w:spacing w:after="60" w:line="260"/>
      </w:pPr>
      <w:r>
        <w:rPr>
          <w:rFonts w:ascii="Calibri" w:cs="Calibri" w:eastAsia="Calibri" w:hAnsi="Calibri"/>
          <w:sz w:val="20"/>
          <w:szCs w:val="20"/>
        </w:rPr>
        <w:t xml:space="preserve">Pas de gaspillage alimentaire — quantités ajustées au nombre exact de voyageurs.</w:t>
      </w:r>
    </w:p>
    <w:p>
      <w:pPr>
        <w:spacing w:after="100" w:before="220"/>
      </w:pPr>
      <w:r>
        <w:rPr>
          <w:rFonts w:ascii="Calibri" w:cs="Calibri" w:eastAsia="Calibri" w:hAnsi="Calibri"/>
          <w:b/>
          <w:bCs/>
          <w:color w:val="E87722"/>
          <w:sz w:val="22"/>
          <w:szCs w:val="22"/>
        </w:rPr>
        <w:t xml:space="preserve">4.3. Engagements numériques</w:t>
      </w:r>
    </w:p>
    <w:p>
      <w:pPr>
        <w:pStyle w:val="ListParagraph"/>
        <w:numPr>
          <w:ilvl w:val="0"/>
          <w:numId w:val="2"/>
        </w:numPr>
        <w:spacing w:after="60" w:line="260"/>
      </w:pPr>
      <w:r>
        <w:rPr>
          <w:rFonts w:ascii="Calibri" w:cs="Calibri" w:eastAsia="Calibri" w:hAnsi="Calibri"/>
          <w:sz w:val="20"/>
          <w:szCs w:val="20"/>
        </w:rPr>
        <w:t xml:space="preserve">Hébergement Scaleway France certifié ISO 27001 — efficacité énergétique des datacenters.</w:t>
      </w:r>
    </w:p>
    <w:p>
      <w:pPr>
        <w:pStyle w:val="ListParagraph"/>
        <w:numPr>
          <w:ilvl w:val="0"/>
          <w:numId w:val="2"/>
        </w:numPr>
        <w:spacing w:after="60" w:line="260"/>
      </w:pPr>
      <w:r>
        <w:rPr>
          <w:rFonts w:ascii="Calibri" w:cs="Calibri" w:eastAsia="Calibri" w:hAnsi="Calibri"/>
          <w:sz w:val="20"/>
          <w:szCs w:val="20"/>
        </w:rPr>
        <w:t xml:space="preserve">Optimisation des requêtes serveur et caching pour limiter la consommation.</w:t>
      </w:r>
    </w:p>
    <w:p>
      <w:pPr>
        <w:pStyle w:val="ListParagraph"/>
        <w:numPr>
          <w:ilvl w:val="0"/>
          <w:numId w:val="2"/>
        </w:numPr>
        <w:spacing w:after="60" w:line="260"/>
      </w:pPr>
      <w:r>
        <w:rPr>
          <w:rFonts w:ascii="Calibri" w:cs="Calibri" w:eastAsia="Calibri" w:hAnsi="Calibri"/>
          <w:sz w:val="20"/>
          <w:szCs w:val="20"/>
        </w:rPr>
        <w:t xml:space="preserve">Contenus visuels optimisés (compression images, vidéos en streaming adaptatif).</w:t>
      </w:r>
    </w:p>
    <w:p>
      <w:pPr>
        <w:pStyle w:val="ListParagraph"/>
        <w:numPr>
          <w:ilvl w:val="0"/>
          <w:numId w:val="2"/>
        </w:numPr>
        <w:spacing w:after="60" w:line="260"/>
      </w:pPr>
      <w:r>
        <w:rPr>
          <w:rFonts w:ascii="Calibri" w:cs="Calibri" w:eastAsia="Calibri" w:hAnsi="Calibri"/>
          <w:sz w:val="20"/>
          <w:szCs w:val="20"/>
        </w:rPr>
        <w:t xml:space="preserve">Cible An 3 : audit empreinte carbone numérique et publication d'un bilan.</w:t>
      </w:r>
    </w:p>
    <w:p>
      <w:pPr>
        <w:spacing w:after="100" w:before="220"/>
      </w:pPr>
      <w:r>
        <w:rPr>
          <w:rFonts w:ascii="Calibri" w:cs="Calibri" w:eastAsia="Calibri" w:hAnsi="Calibri"/>
          <w:b/>
          <w:bCs/>
          <w:color w:val="E87722"/>
          <w:sz w:val="22"/>
          <w:szCs w:val="22"/>
        </w:rPr>
        <w:t xml:space="preserve">4.4. Compensation carbone</w:t>
      </w:r>
    </w:p>
    <w:p>
      <w:pPr>
        <w:pStyle w:val="ListParagraph"/>
        <w:numPr>
          <w:ilvl w:val="0"/>
          <w:numId w:val="2"/>
        </w:numPr>
        <w:spacing w:after="60" w:line="260"/>
      </w:pPr>
      <w:r>
        <w:rPr>
          <w:rFonts w:ascii="Calibri" w:cs="Calibri" w:eastAsia="Calibri" w:hAnsi="Calibri"/>
          <w:sz w:val="20"/>
          <w:szCs w:val="20"/>
        </w:rPr>
        <w:t xml:space="preserve">À compter de l'An 2 : possibilité offerte au voyageur de compenser son empreinte CO₂ via un partenaire certifié (sur option, prix public).</w:t>
      </w:r>
    </w:p>
    <w:p>
      <w:pPr>
        <w:pStyle w:val="ListParagraph"/>
        <w:numPr>
          <w:ilvl w:val="0"/>
          <w:numId w:val="2"/>
        </w:numPr>
        <w:spacing w:after="60" w:line="260"/>
      </w:pPr>
      <w:r>
        <w:rPr>
          <w:rFonts w:ascii="Calibri" w:cs="Calibri" w:eastAsia="Calibri" w:hAnsi="Calibri"/>
          <w:sz w:val="20"/>
          <w:szCs w:val="20"/>
        </w:rPr>
        <w:t xml:space="preserve">À compter de l'An 3 : Eventy compense 100 % de l'empreinte CO₂ de l'équipe interne.</w:t>
      </w:r>
    </w:p>
    <w:p>
      <w:pPr>
        <w:pStyle w:val="ListParagraph"/>
        <w:numPr>
          <w:ilvl w:val="0"/>
          <w:numId w:val="2"/>
        </w:numPr>
        <w:spacing w:after="60" w:line="260"/>
      </w:pPr>
      <w:r>
        <w:rPr>
          <w:rFonts w:ascii="Calibri" w:cs="Calibri" w:eastAsia="Calibri" w:hAnsi="Calibri"/>
          <w:sz w:val="20"/>
          <w:szCs w:val="20"/>
        </w:rPr>
        <w:t xml:space="preserve">Partenariats potentiels : Reforest'Action, Pur Projet, Climate Seed (à étudier).</w:t>
      </w:r>
    </w:p>
    <w:p>
      <w:pPr>
        <w:spacing w:after="160" w:before="240"/>
      </w:pPr>
      <w:r>
        <w:rPr>
          <w:rFonts w:ascii="Calibri" w:cs="Calibri" w:eastAsia="Calibri" w:hAnsi="Calibri"/>
          <w:b/>
          <w:bCs/>
          <w:color w:val="1F4E79"/>
          <w:sz w:val="32"/>
          <w:szCs w:val="32"/>
        </w:rPr>
        <w:t xml:space="preserve">5. Pilier gouvernance</w:t>
      </w:r>
    </w:p>
    <w:p>
      <w:pPr>
        <w:spacing w:after="100" w:before="220"/>
      </w:pPr>
      <w:r>
        <w:rPr>
          <w:rFonts w:ascii="Calibri" w:cs="Calibri" w:eastAsia="Calibri" w:hAnsi="Calibri"/>
          <w:b/>
          <w:bCs/>
          <w:color w:val="E87722"/>
          <w:sz w:val="22"/>
          <w:szCs w:val="22"/>
        </w:rPr>
        <w:t xml:space="preserve">5.1. Transparence et reporting</w:t>
      </w:r>
    </w:p>
    <w:p>
      <w:pPr>
        <w:pStyle w:val="ListParagraph"/>
        <w:numPr>
          <w:ilvl w:val="0"/>
          <w:numId w:val="2"/>
        </w:numPr>
        <w:spacing w:after="60" w:line="260"/>
      </w:pPr>
      <w:r>
        <w:rPr>
          <w:rFonts w:ascii="Calibri" w:cs="Calibri" w:eastAsia="Calibri" w:hAnsi="Calibri"/>
          <w:sz w:val="20"/>
          <w:szCs w:val="20"/>
        </w:rPr>
        <w:t xml:space="preserve">Décomposition publique du prix sur chaque fiche voyage.</w:t>
      </w:r>
    </w:p>
    <w:p>
      <w:pPr>
        <w:pStyle w:val="ListParagraph"/>
        <w:numPr>
          <w:ilvl w:val="0"/>
          <w:numId w:val="2"/>
        </w:numPr>
        <w:spacing w:after="60" w:line="260"/>
      </w:pPr>
      <w:r>
        <w:rPr>
          <w:rFonts w:ascii="Calibri" w:cs="Calibri" w:eastAsia="Calibri" w:hAnsi="Calibri"/>
          <w:sz w:val="20"/>
          <w:szCs w:val="20"/>
        </w:rPr>
        <w:t xml:space="preserve">Reporting trimestriel à l'APST (volume des fonds clients en transit).</w:t>
      </w:r>
    </w:p>
    <w:p>
      <w:pPr>
        <w:pStyle w:val="ListParagraph"/>
        <w:numPr>
          <w:ilvl w:val="0"/>
          <w:numId w:val="2"/>
        </w:numPr>
        <w:spacing w:after="60" w:line="260"/>
      </w:pPr>
      <w:r>
        <w:rPr>
          <w:rFonts w:ascii="Calibri" w:cs="Calibri" w:eastAsia="Calibri" w:hAnsi="Calibri"/>
          <w:sz w:val="20"/>
          <w:szCs w:val="20"/>
        </w:rPr>
        <w:t xml:space="preserve">Bilan annuel certifié par expert-comptable + commissaire aux comptes (au-delà du seuil).</w:t>
      </w:r>
    </w:p>
    <w:p>
      <w:pPr>
        <w:pStyle w:val="ListParagraph"/>
        <w:numPr>
          <w:ilvl w:val="0"/>
          <w:numId w:val="2"/>
        </w:numPr>
        <w:spacing w:after="60" w:line="260"/>
      </w:pPr>
      <w:r>
        <w:rPr>
          <w:rFonts w:ascii="Calibri" w:cs="Calibri" w:eastAsia="Calibri" w:hAnsi="Calibri"/>
          <w:sz w:val="20"/>
          <w:szCs w:val="20"/>
        </w:rPr>
        <w:t xml:space="preserve">Rapport d'activité annuel public, incluant un volet RSE.</w:t>
      </w:r>
    </w:p>
    <w:p>
      <w:pPr>
        <w:pStyle w:val="ListParagraph"/>
        <w:numPr>
          <w:ilvl w:val="0"/>
          <w:numId w:val="2"/>
        </w:numPr>
        <w:spacing w:after="60" w:line="260"/>
      </w:pPr>
      <w:r>
        <w:rPr>
          <w:rFonts w:ascii="Calibri" w:cs="Calibri" w:eastAsia="Calibri" w:hAnsi="Calibri"/>
          <w:sz w:val="20"/>
          <w:szCs w:val="20"/>
        </w:rPr>
        <w:t xml:space="preserve">Dashboard public d'indicateurs RSE clés (à compter de l'An 2).</w:t>
      </w:r>
    </w:p>
    <w:p>
      <w:pPr>
        <w:spacing w:after="100" w:before="220"/>
      </w:pPr>
      <w:r>
        <w:rPr>
          <w:rFonts w:ascii="Calibri" w:cs="Calibri" w:eastAsia="Calibri" w:hAnsi="Calibri"/>
          <w:b/>
          <w:bCs/>
          <w:color w:val="E87722"/>
          <w:sz w:val="22"/>
          <w:szCs w:val="22"/>
        </w:rPr>
        <w:t xml:space="preserve">5.2. Éthique des affaires</w:t>
      </w:r>
    </w:p>
    <w:p>
      <w:pPr>
        <w:pStyle w:val="ListParagraph"/>
        <w:numPr>
          <w:ilvl w:val="0"/>
          <w:numId w:val="2"/>
        </w:numPr>
        <w:spacing w:after="60" w:line="260"/>
      </w:pPr>
      <w:r>
        <w:rPr>
          <w:rFonts w:ascii="Calibri" w:cs="Calibri" w:eastAsia="Calibri" w:hAnsi="Calibri"/>
          <w:sz w:val="20"/>
          <w:szCs w:val="20"/>
        </w:rPr>
        <w:t xml:space="preserve">Politique anti-corruption stricte — refus de tout cadeau ou avantage personnel auprès des partenaires.</w:t>
      </w:r>
    </w:p>
    <w:p>
      <w:pPr>
        <w:pStyle w:val="ListParagraph"/>
        <w:numPr>
          <w:ilvl w:val="0"/>
          <w:numId w:val="2"/>
        </w:numPr>
        <w:spacing w:after="60" w:line="260"/>
      </w:pPr>
      <w:r>
        <w:rPr>
          <w:rFonts w:ascii="Calibri" w:cs="Calibri" w:eastAsia="Calibri" w:hAnsi="Calibri"/>
          <w:sz w:val="20"/>
          <w:szCs w:val="20"/>
        </w:rPr>
        <w:t xml:space="preserve">Refus de toute pratique commerciale trompeuse (prix barrés fictifs, urgence artificielle, etc.).</w:t>
      </w:r>
    </w:p>
    <w:p>
      <w:pPr>
        <w:pStyle w:val="ListParagraph"/>
        <w:numPr>
          <w:ilvl w:val="0"/>
          <w:numId w:val="2"/>
        </w:numPr>
        <w:spacing w:after="60" w:line="260"/>
      </w:pPr>
      <w:r>
        <w:rPr>
          <w:rFonts w:ascii="Calibri" w:cs="Calibri" w:eastAsia="Calibri" w:hAnsi="Calibri"/>
          <w:sz w:val="20"/>
          <w:szCs w:val="20"/>
        </w:rPr>
        <w:t xml:space="preserve">Confidentialité des données partenaires et voyageurs (RGPD, accords article 28).</w:t>
      </w:r>
    </w:p>
    <w:p>
      <w:pPr>
        <w:pStyle w:val="ListParagraph"/>
        <w:numPr>
          <w:ilvl w:val="0"/>
          <w:numId w:val="2"/>
        </w:numPr>
        <w:spacing w:after="60" w:line="260"/>
      </w:pPr>
      <w:r>
        <w:rPr>
          <w:rFonts w:ascii="Calibri" w:cs="Calibri" w:eastAsia="Calibri" w:hAnsi="Calibri"/>
          <w:sz w:val="20"/>
          <w:szCs w:val="20"/>
        </w:rPr>
        <w:t xml:space="preserve">Coopération pleine avec les autorités de contrôle (APST, Atout France, DGCCRF, CNIL).</w:t>
      </w:r>
    </w:p>
    <w:p>
      <w:pPr>
        <w:spacing w:after="100" w:before="220"/>
      </w:pPr>
      <w:r>
        <w:rPr>
          <w:rFonts w:ascii="Calibri" w:cs="Calibri" w:eastAsia="Calibri" w:hAnsi="Calibri"/>
          <w:b/>
          <w:bCs/>
          <w:color w:val="E87722"/>
          <w:sz w:val="22"/>
          <w:szCs w:val="22"/>
        </w:rPr>
        <w:t xml:space="preserve">5.3. Gouvernance partagée</w:t>
      </w:r>
    </w:p>
    <w:p>
      <w:pPr>
        <w:pStyle w:val="ListParagraph"/>
        <w:numPr>
          <w:ilvl w:val="0"/>
          <w:numId w:val="2"/>
        </w:numPr>
        <w:spacing w:after="60" w:line="260"/>
      </w:pPr>
      <w:r>
        <w:rPr>
          <w:rFonts w:ascii="Calibri" w:cs="Calibri" w:eastAsia="Calibri" w:hAnsi="Calibri"/>
          <w:sz w:val="20"/>
          <w:szCs w:val="20"/>
        </w:rPr>
        <w:t xml:space="preserve">Comité d'investissement informel post-levée Seed — droit d'information renforcé pour les Investisseurs.</w:t>
      </w:r>
    </w:p>
    <w:p>
      <w:pPr>
        <w:pStyle w:val="ListParagraph"/>
        <w:numPr>
          <w:ilvl w:val="0"/>
          <w:numId w:val="2"/>
        </w:numPr>
        <w:spacing w:after="60" w:line="260"/>
      </w:pPr>
      <w:r>
        <w:rPr>
          <w:rFonts w:ascii="Calibri" w:cs="Calibri" w:eastAsia="Calibri" w:hAnsi="Calibri"/>
          <w:sz w:val="20"/>
          <w:szCs w:val="20"/>
        </w:rPr>
        <w:t xml:space="preserve">Statuts incluant une clause de réserve volontaire 5 % CA non-distribuable (article 13).</w:t>
      </w:r>
    </w:p>
    <w:p>
      <w:pPr>
        <w:pStyle w:val="ListParagraph"/>
        <w:numPr>
          <w:ilvl w:val="0"/>
          <w:numId w:val="2"/>
        </w:numPr>
        <w:spacing w:after="60" w:line="260"/>
      </w:pPr>
      <w:r>
        <w:rPr>
          <w:rFonts w:ascii="Calibri" w:cs="Calibri" w:eastAsia="Calibri" w:hAnsi="Calibri"/>
          <w:sz w:val="20"/>
          <w:szCs w:val="20"/>
        </w:rPr>
        <w:t xml:space="preserve">Politique de rémunération du dirigeant transparente, communiquée annuellement.</w:t>
      </w:r>
    </w:p>
    <w:p>
      <w:pPr>
        <w:spacing w:after="160" w:before="240"/>
      </w:pPr>
      <w:r>
        <w:rPr>
          <w:rFonts w:ascii="Calibri" w:cs="Calibri" w:eastAsia="Calibri" w:hAnsi="Calibri"/>
          <w:b/>
          <w:bCs/>
          <w:color w:val="1F4E79"/>
          <w:sz w:val="32"/>
          <w:szCs w:val="32"/>
        </w:rPr>
        <w:t xml:space="preserve">6. Indicateurs RSE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 RSE</w:t>
            </w:r>
          </w:p>
        </w:tc>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3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5</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Redistribution aux indépendants français (% du CA)</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6,8 %</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6,8 %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Nombre d'indépendants actifs (créateurs + vendeurs)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450</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5 600</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Nombre de partenaires HRA français</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1 500</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voyages partis (vs annulés pour seuil)</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de satisfaction voyageur (NPS)</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+ 60</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Pénalités fournisseurs payées intégralement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moyen de paiement aux indépendants</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 jours</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 jours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Pourcentage transport groupé bas-carbone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Réserve volontaire constituée (en % du CA cumulé)</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Heures de formation continue dirigeant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 h/an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 h/an</w:t>
            </w:r>
          </w:p>
        </w:tc>
      </w:tr>
    </w:tbl>
    <w:p>
      <w:pPr>
        <w:spacing w:after="160" w:before="240"/>
      </w:pPr>
      <w:r>
        <w:rPr>
          <w:rFonts w:ascii="Calibri" w:cs="Calibri" w:eastAsia="Calibri" w:hAnsi="Calibri"/>
          <w:b/>
          <w:bCs/>
          <w:color w:val="1F4E79"/>
          <w:sz w:val="32"/>
          <w:szCs w:val="32"/>
        </w:rPr>
        <w:t xml:space="preserve">7. Engagement de progrès</w:t>
      </w:r>
    </w:p>
    <w:p>
      <w:pPr>
        <w:pStyle w:val="ListParagraph"/>
        <w:numPr>
          <w:ilvl w:val="0"/>
          <w:numId w:val="2"/>
        </w:numPr>
        <w:spacing w:after="60" w:line="260"/>
      </w:pPr>
      <w:r>
        <w:rPr>
          <w:rFonts w:ascii="Calibri" w:cs="Calibri" w:eastAsia="Calibri" w:hAnsi="Calibri"/>
          <w:sz w:val="20"/>
          <w:szCs w:val="20"/>
        </w:rPr>
        <w:t xml:space="preserve">Audit RSE annuel par tiers indépendant à compter de l'An 3.</w:t>
      </w:r>
    </w:p>
    <w:p>
      <w:pPr>
        <w:pStyle w:val="ListParagraph"/>
        <w:numPr>
          <w:ilvl w:val="0"/>
          <w:numId w:val="2"/>
        </w:numPr>
        <w:spacing w:after="60" w:line="260"/>
      </w:pPr>
      <w:r>
        <w:rPr>
          <w:rFonts w:ascii="Calibri" w:cs="Calibri" w:eastAsia="Calibri" w:hAnsi="Calibri"/>
          <w:sz w:val="20"/>
          <w:szCs w:val="20"/>
        </w:rPr>
        <w:t xml:space="preserve">Adhésion au Pacte Mondial des Nations Unies (à étudier An 2).</w:t>
      </w:r>
    </w:p>
    <w:p>
      <w:pPr>
        <w:pStyle w:val="ListParagraph"/>
        <w:numPr>
          <w:ilvl w:val="0"/>
          <w:numId w:val="2"/>
        </w:numPr>
        <w:spacing w:after="60" w:line="260"/>
      </w:pPr>
      <w:r>
        <w:rPr>
          <w:rFonts w:ascii="Calibri" w:cs="Calibri" w:eastAsia="Calibri" w:hAnsi="Calibri"/>
          <w:sz w:val="20"/>
          <w:szCs w:val="20"/>
        </w:rPr>
        <w:t xml:space="preserve">Certification B Corp ou équivalent à viser à compter de l'An 4.</w:t>
      </w:r>
    </w:p>
    <w:p>
      <w:pPr>
        <w:pStyle w:val="ListParagraph"/>
        <w:numPr>
          <w:ilvl w:val="0"/>
          <w:numId w:val="2"/>
        </w:numPr>
        <w:spacing w:after="60" w:line="260"/>
      </w:pPr>
      <w:r>
        <w:rPr>
          <w:rFonts w:ascii="Calibri" w:cs="Calibri" w:eastAsia="Calibri" w:hAnsi="Calibri"/>
          <w:sz w:val="20"/>
          <w:szCs w:val="20"/>
        </w:rPr>
        <w:t xml:space="preserve">Publication d'un rapport RSE annuel public.</w:t>
      </w:r>
    </w:p>
    <w:p>
      <w:pPr>
        <w:spacing w:after="180"/>
      </w:pPr>
      <w:r>
        <w:t xml:space="preserve"/>
      </w:r>
    </w:p>
    <w:p>
      <w:pPr>
        <w:spacing w:after="100" w:line="280"/>
        <w:jc w:val="both"/>
      </w:pPr>
      <w:r>
        <w:rPr>
          <w:rFonts w:ascii="Calibri" w:cs="Calibri" w:eastAsia="Calibri" w:hAnsi="Calibri"/>
          <w:i/>
          <w:iCs/>
          <w:color w:val="555555"/>
          <w:sz w:val="20"/>
          <w:szCs w:val="20"/>
        </w:rPr>
        <w:t xml:space="preserve">Document de référence interne et externe — Version 1.0 — 30 avril 2026. Mise à jour annuelle.</w:t>
      </w:r>
    </w:p>
    <w:p>
      <w:pPr>
        <w:spacing w:after="100" w:line="280"/>
        <w:jc w:val="both"/>
      </w:pPr>
      <w:r>
        <w:rPr>
          <w:rFonts w:ascii="Calibri" w:cs="Calibri" w:eastAsia="Calibri" w:hAnsi="Calibri"/>
          <w:i/>
          <w:iCs/>
          <w:color w:val="555555"/>
          <w:sz w:val="20"/>
          <w:szCs w:val="20"/>
        </w:rPr>
        <w:t xml:space="preserve">Pour toute question : eventylife@gmail.com.</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RSE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RSE</dc:title>
  <dc:creator>David Eventy — Eventy Life SAS</dc:creator>
  <dc:description>Politique de Responsabilité Sociétale d'Entreprise.</dc:description>
  <cp:lastModifiedBy>Un-named</cp:lastModifiedBy>
  <cp:revision>1</cp:revision>
  <dcterms:created xsi:type="dcterms:W3CDTF">2026-04-30T08:39:27.256Z</dcterms:created>
  <dcterms:modified xsi:type="dcterms:W3CDTF">2026-04-30T08:39:27.257Z</dcterms:modified>
</cp:coreProperties>
</file>

<file path=docProps/custom.xml><?xml version="1.0" encoding="utf-8"?>
<Properties xmlns="http://schemas.openxmlformats.org/officeDocument/2006/custom-properties" xmlns:vt="http://schemas.openxmlformats.org/officeDocument/2006/docPropsVTypes"/>
</file>