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ANTI-CORRUPTION EVENTY LIFE</w:t>
            </w:r>
          </w:p>
          <w:p>
            <w:pPr>
              <w:spacing w:after="0"/>
              <w:jc w:val="center"/>
            </w:pPr>
            <w:r>
              <w:rPr>
                <w:rFonts w:ascii="Calibri" w:cs="Calibri" w:eastAsia="Calibri" w:hAnsi="Calibri"/>
                <w:i/>
                <w:iCs/>
                <w:color w:val="1F4E79"/>
                <w:sz w:val="18"/>
                <w:szCs w:val="18"/>
              </w:rPr>
              <w:t xml:space="preserve">Engagements éthiques inspirés de la loi Sapin 2 — adaptés PME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anti-corruption formalise les engagements d'EVENTY LIFE SAS contre toute forme de corruption, de trafic d'influence, de concussion et de favoritisme. Bien qu'EVENTY LIFE ne soit pas formellement assujettie à la loi n° 2016-1691 du 9 décembre 2016 dite « Sapin 2 » (qui s'applique aux entreprises de plus de 500 salariés et de plus de 100 M€ de CA), elle souhaite intégrer dès sa création les principes structurants de cette loi.</w:t>
      </w:r>
    </w:p>
    <w:p>
      <w:pPr>
        <w:spacing w:after="100" w:line="280"/>
        <w:jc w:val="both"/>
      </w:pPr>
      <w:r>
        <w:rPr>
          <w:rFonts w:ascii="Calibri" w:cs="Calibri" w:eastAsia="Calibri" w:hAnsi="Calibri"/>
          <w:i/>
          <w:iCs/>
          <w:color w:val="1A1A1A"/>
          <w:sz w:val="20"/>
          <w:szCs w:val="20"/>
        </w:rPr>
        <w:t xml:space="preserve">Cette posture exigeante est cohérente avec les valeurs éthiques de l'entreprise (politique RSE, charte fournisseurs) et elle est attendue par les partenaires institutionnels (APST, Atout France, banque domiciliataire, investisseurs ESG, organismes de subventions publiques).</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Loi n° 2016-1691 du 9 décembre 2016 dite « Sapin 2 » (esprit, sans assujettissement formel).</w:t>
      </w:r>
    </w:p>
    <w:p>
      <w:pPr>
        <w:pStyle w:val="ListParagraph"/>
        <w:numPr>
          <w:ilvl w:val="0"/>
          <w:numId w:val="2"/>
        </w:numPr>
        <w:spacing w:after="60" w:line="260"/>
      </w:pPr>
      <w:r>
        <w:rPr>
          <w:rFonts w:ascii="Calibri" w:cs="Calibri" w:eastAsia="Calibri" w:hAnsi="Calibri"/>
          <w:sz w:val="20"/>
          <w:szCs w:val="20"/>
        </w:rPr>
        <w:t xml:space="preserve">Articles 433-1 à 433-25 du Code pénal — corruption d'agent public et privé, trafic d'influence, prise illégale d'intérêts.</w:t>
      </w:r>
    </w:p>
    <w:p>
      <w:pPr>
        <w:pStyle w:val="ListParagraph"/>
        <w:numPr>
          <w:ilvl w:val="0"/>
          <w:numId w:val="2"/>
        </w:numPr>
        <w:spacing w:after="60" w:line="260"/>
      </w:pPr>
      <w:r>
        <w:rPr>
          <w:rFonts w:ascii="Calibri" w:cs="Calibri" w:eastAsia="Calibri" w:hAnsi="Calibri"/>
          <w:sz w:val="20"/>
          <w:szCs w:val="20"/>
        </w:rPr>
        <w:t xml:space="preserve">Convention OCDE sur la lutte contre la corruption d'agents publics étrangers.</w:t>
      </w:r>
    </w:p>
    <w:p>
      <w:pPr>
        <w:pStyle w:val="ListParagraph"/>
        <w:numPr>
          <w:ilvl w:val="0"/>
          <w:numId w:val="2"/>
        </w:numPr>
        <w:spacing w:after="60" w:line="260"/>
      </w:pPr>
      <w:r>
        <w:rPr>
          <w:rFonts w:ascii="Calibri" w:cs="Calibri" w:eastAsia="Calibri" w:hAnsi="Calibri"/>
          <w:sz w:val="20"/>
          <w:szCs w:val="20"/>
        </w:rPr>
        <w:t xml:space="preserve">UN Global Compact — principe 10 sur la lutte contre la corruption.</w:t>
      </w:r>
    </w:p>
    <w:p>
      <w:pPr>
        <w:pStyle w:val="ListParagraph"/>
        <w:numPr>
          <w:ilvl w:val="0"/>
          <w:numId w:val="2"/>
        </w:numPr>
        <w:spacing w:after="60" w:line="260"/>
      </w:pPr>
      <w:r>
        <w:rPr>
          <w:rFonts w:ascii="Calibri" w:cs="Calibri" w:eastAsia="Calibri" w:hAnsi="Calibri"/>
          <w:sz w:val="20"/>
          <w:szCs w:val="20"/>
        </w:rPr>
        <w:t xml:space="preserve">Politique RSE Eventy Life (pilier gouvernance).</w:t>
      </w:r>
    </w:p>
    <w:p>
      <w:pPr>
        <w:spacing w:after="160" w:before="240"/>
      </w:pPr>
      <w:r>
        <w:rPr>
          <w:rFonts w:ascii="Calibri" w:cs="Calibri" w:eastAsia="Calibri" w:hAnsi="Calibri"/>
          <w:b/>
          <w:bCs/>
          <w:color w:val="1F4E79"/>
          <w:sz w:val="32"/>
          <w:szCs w:val="32"/>
        </w:rPr>
        <w:t xml:space="preserve">2. Définitions</w:t>
      </w:r>
    </w:p>
    <w:p>
      <w:pPr>
        <w:spacing w:after="100" w:before="220"/>
      </w:pPr>
      <w:r>
        <w:rPr>
          <w:rFonts w:ascii="Calibri" w:cs="Calibri" w:eastAsia="Calibri" w:hAnsi="Calibri"/>
          <w:b/>
          <w:bCs/>
          <w:color w:val="E87722"/>
          <w:sz w:val="22"/>
          <w:szCs w:val="22"/>
        </w:rPr>
        <w:t xml:space="preserve">2.1. Corruption</w:t>
      </w:r>
    </w:p>
    <w:p>
      <w:pPr>
        <w:spacing w:after="100" w:line="280"/>
        <w:jc w:val="both"/>
      </w:pPr>
      <w:r>
        <w:rPr>
          <w:rFonts w:ascii="Calibri" w:cs="Calibri" w:eastAsia="Calibri" w:hAnsi="Calibri"/>
          <w:color w:val="1A1A1A"/>
          <w:sz w:val="20"/>
          <w:szCs w:val="20"/>
        </w:rPr>
        <w:t xml:space="preserve">La corruption désigne le fait, pour une personne, de proposer, donner ou recevoir un avantage indu en contrepartie d'un acte ou d'une abstention dans le cadre de ses fonctions. Elle peut être active (proposer) ou passive (recevoir).</w:t>
      </w:r>
    </w:p>
    <w:p>
      <w:pPr>
        <w:spacing w:after="100" w:before="220"/>
      </w:pPr>
      <w:r>
        <w:rPr>
          <w:rFonts w:ascii="Calibri" w:cs="Calibri" w:eastAsia="Calibri" w:hAnsi="Calibri"/>
          <w:b/>
          <w:bCs/>
          <w:color w:val="E87722"/>
          <w:sz w:val="22"/>
          <w:szCs w:val="22"/>
        </w:rPr>
        <w:t xml:space="preserve">2.2. Trafic d'influence</w:t>
      </w:r>
    </w:p>
    <w:p>
      <w:pPr>
        <w:spacing w:after="100" w:line="280"/>
        <w:jc w:val="both"/>
      </w:pPr>
      <w:r>
        <w:rPr>
          <w:rFonts w:ascii="Calibri" w:cs="Calibri" w:eastAsia="Calibri" w:hAnsi="Calibri"/>
          <w:color w:val="1A1A1A"/>
          <w:sz w:val="20"/>
          <w:szCs w:val="20"/>
        </w:rPr>
        <w:t xml:space="preserve">Le trafic d'influence désigne le fait de monnayer une influence, réelle ou supposée, sur une décision publique ou privée.</w:t>
      </w:r>
    </w:p>
    <w:p>
      <w:pPr>
        <w:spacing w:after="100" w:before="220"/>
      </w:pPr>
      <w:r>
        <w:rPr>
          <w:rFonts w:ascii="Calibri" w:cs="Calibri" w:eastAsia="Calibri" w:hAnsi="Calibri"/>
          <w:b/>
          <w:bCs/>
          <w:color w:val="E87722"/>
          <w:sz w:val="22"/>
          <w:szCs w:val="22"/>
        </w:rPr>
        <w:t xml:space="preserve">2.3. Concussion</w:t>
      </w:r>
    </w:p>
    <w:p>
      <w:pPr>
        <w:spacing w:after="100" w:line="280"/>
        <w:jc w:val="both"/>
      </w:pPr>
      <w:r>
        <w:rPr>
          <w:rFonts w:ascii="Calibri" w:cs="Calibri" w:eastAsia="Calibri" w:hAnsi="Calibri"/>
          <w:color w:val="1A1A1A"/>
          <w:sz w:val="20"/>
          <w:szCs w:val="20"/>
        </w:rPr>
        <w:t xml:space="preserve">La concussion désigne l'exigence ou la perception d'un avantage indu par un agent public dans l'exercice de ses fonctions.</w:t>
      </w:r>
    </w:p>
    <w:p>
      <w:pPr>
        <w:spacing w:after="100" w:before="220"/>
      </w:pPr>
      <w:r>
        <w:rPr>
          <w:rFonts w:ascii="Calibri" w:cs="Calibri" w:eastAsia="Calibri" w:hAnsi="Calibri"/>
          <w:b/>
          <w:bCs/>
          <w:color w:val="E87722"/>
          <w:sz w:val="22"/>
          <w:szCs w:val="22"/>
        </w:rPr>
        <w:t xml:space="preserve">2.4. Favoritisme</w:t>
      </w:r>
    </w:p>
    <w:p>
      <w:pPr>
        <w:spacing w:after="100" w:line="280"/>
        <w:jc w:val="both"/>
      </w:pPr>
      <w:r>
        <w:rPr>
          <w:rFonts w:ascii="Calibri" w:cs="Calibri" w:eastAsia="Calibri" w:hAnsi="Calibri"/>
          <w:color w:val="1A1A1A"/>
          <w:sz w:val="20"/>
          <w:szCs w:val="20"/>
        </w:rPr>
        <w:t xml:space="preserve">Le favoritisme désigne le fait d'accorder un avantage indu à un tiers (fournisseur, partenaire, client) en dehors des règles applicables.</w:t>
      </w:r>
    </w:p>
    <w:p>
      <w:pPr>
        <w:spacing w:after="160" w:before="240"/>
      </w:pPr>
      <w:r>
        <w:rPr>
          <w:rFonts w:ascii="Calibri" w:cs="Calibri" w:eastAsia="Calibri" w:hAnsi="Calibri"/>
          <w:b/>
          <w:bCs/>
          <w:color w:val="1F4E79"/>
          <w:sz w:val="32"/>
          <w:szCs w:val="32"/>
        </w:rPr>
        <w:t xml:space="preserve">3. Engagements d'Eventy Life</w:t>
      </w:r>
    </w:p>
    <w:p>
      <w:pPr>
        <w:spacing w:after="100" w:before="220"/>
      </w:pPr>
      <w:r>
        <w:rPr>
          <w:rFonts w:ascii="Calibri" w:cs="Calibri" w:eastAsia="Calibri" w:hAnsi="Calibri"/>
          <w:b/>
          <w:bCs/>
          <w:color w:val="E87722"/>
          <w:sz w:val="22"/>
          <w:szCs w:val="22"/>
        </w:rPr>
        <w:t xml:space="preserve">3.1. Tolérance zéro</w:t>
      </w:r>
    </w:p>
    <w:p>
      <w:pPr>
        <w:spacing w:after="100" w:line="280"/>
        <w:jc w:val="both"/>
      </w:pPr>
      <w:r>
        <w:rPr>
          <w:rFonts w:ascii="Calibri" w:cs="Calibri" w:eastAsia="Calibri" w:hAnsi="Calibri"/>
          <w:color w:val="1A1A1A"/>
          <w:sz w:val="20"/>
          <w:szCs w:val="20"/>
        </w:rPr>
        <w:t xml:space="preserve">EVENTY LIFE SAS adopte une politique de tolérance zéro vis-à-vis de toute pratique de corruption, de trafic d'influence, de concussion ou de favoritisme. Tout fait avéré entraîne :</w:t>
      </w:r>
    </w:p>
    <w:p>
      <w:pPr>
        <w:pStyle w:val="ListParagraph"/>
        <w:numPr>
          <w:ilvl w:val="0"/>
          <w:numId w:val="2"/>
        </w:numPr>
        <w:spacing w:after="60" w:line="260"/>
      </w:pPr>
      <w:r>
        <w:rPr>
          <w:rFonts w:ascii="Calibri" w:cs="Calibri" w:eastAsia="Calibri" w:hAnsi="Calibri"/>
          <w:sz w:val="20"/>
          <w:szCs w:val="20"/>
        </w:rPr>
        <w:t xml:space="preserve">Pour un collaborateur ou prestataire interne : sanction disciplinaire pouvant aller jusqu'au licenciement pour faute grave et signalement aux autorités compétentes.</w:t>
      </w:r>
    </w:p>
    <w:p>
      <w:pPr>
        <w:pStyle w:val="ListParagraph"/>
        <w:numPr>
          <w:ilvl w:val="0"/>
          <w:numId w:val="2"/>
        </w:numPr>
        <w:spacing w:after="60" w:line="260"/>
      </w:pPr>
      <w:r>
        <w:rPr>
          <w:rFonts w:ascii="Calibri" w:cs="Calibri" w:eastAsia="Calibri" w:hAnsi="Calibri"/>
          <w:sz w:val="20"/>
          <w:szCs w:val="20"/>
        </w:rPr>
        <w:t xml:space="preserve">Pour un partenaire HRA, transporteur ou indépendant : déréférencement immédiat et action en dommages-intérêts.</w:t>
      </w:r>
    </w:p>
    <w:p>
      <w:pPr>
        <w:pStyle w:val="ListParagraph"/>
        <w:numPr>
          <w:ilvl w:val="0"/>
          <w:numId w:val="2"/>
        </w:numPr>
        <w:spacing w:after="60" w:line="260"/>
      </w:pPr>
      <w:r>
        <w:rPr>
          <w:rFonts w:ascii="Calibri" w:cs="Calibri" w:eastAsia="Calibri" w:hAnsi="Calibri"/>
          <w:sz w:val="20"/>
          <w:szCs w:val="20"/>
        </w:rPr>
        <w:t xml:space="preserve">Pour le dirigeant lui-même : action en justice et démission ad nutum.</w:t>
      </w:r>
    </w:p>
    <w:p>
      <w:pPr>
        <w:spacing w:after="100" w:before="220"/>
      </w:pPr>
      <w:r>
        <w:rPr>
          <w:rFonts w:ascii="Calibri" w:cs="Calibri" w:eastAsia="Calibri" w:hAnsi="Calibri"/>
          <w:b/>
          <w:bCs/>
          <w:color w:val="E87722"/>
          <w:sz w:val="22"/>
          <w:szCs w:val="22"/>
        </w:rPr>
        <w:t xml:space="preserve">3.2. Cas d'usage et règles précises</w:t>
      </w:r>
    </w:p>
    <w:p>
      <w:pPr>
        <w:spacing w:after="80" w:before="180"/>
      </w:pPr>
      <w:r>
        <w:rPr>
          <w:rFonts w:ascii="Calibri" w:cs="Calibri" w:eastAsia="Calibri" w:hAnsi="Calibri"/>
          <w:b/>
          <w:bCs/>
          <w:color w:val="1F4E79"/>
          <w:sz w:val="20"/>
          <w:szCs w:val="20"/>
        </w:rPr>
        <w:t xml:space="preserve">3.2.1. Cadeaux et invitations</w:t>
      </w:r>
    </w:p>
    <w:p>
      <w:pPr>
        <w:pStyle w:val="ListParagraph"/>
        <w:numPr>
          <w:ilvl w:val="0"/>
          <w:numId w:val="2"/>
        </w:numPr>
        <w:spacing w:after="60" w:line="260"/>
      </w:pPr>
      <w:r>
        <w:rPr>
          <w:rFonts w:ascii="Calibri" w:cs="Calibri" w:eastAsia="Calibri" w:hAnsi="Calibri"/>
          <w:sz w:val="20"/>
          <w:szCs w:val="20"/>
        </w:rPr>
        <w:t xml:space="preserve">Aucun cadeau ni invitation d'une valeur supérieure à 30 € ne peut être accepté ou offert sans autorisation écrite préalable du Président.</w:t>
      </w:r>
    </w:p>
    <w:p>
      <w:pPr>
        <w:pStyle w:val="ListParagraph"/>
        <w:numPr>
          <w:ilvl w:val="0"/>
          <w:numId w:val="2"/>
        </w:numPr>
        <w:spacing w:after="60" w:line="260"/>
      </w:pPr>
      <w:r>
        <w:rPr>
          <w:rFonts w:ascii="Calibri" w:cs="Calibri" w:eastAsia="Calibri" w:hAnsi="Calibri"/>
          <w:sz w:val="20"/>
          <w:szCs w:val="20"/>
        </w:rPr>
        <w:t xml:space="preserve">Sont autorisés sans formalité : cafés, déjeuners professionnels (jusqu'à 50 €/personne), petits attentions de courtoisie (fleurs, cartes de visite, échantillons).</w:t>
      </w:r>
    </w:p>
    <w:p>
      <w:pPr>
        <w:pStyle w:val="ListParagraph"/>
        <w:numPr>
          <w:ilvl w:val="0"/>
          <w:numId w:val="2"/>
        </w:numPr>
        <w:spacing w:after="60" w:line="260"/>
      </w:pPr>
      <w:r>
        <w:rPr>
          <w:rFonts w:ascii="Calibri" w:cs="Calibri" w:eastAsia="Calibri" w:hAnsi="Calibri"/>
          <w:sz w:val="20"/>
          <w:szCs w:val="20"/>
        </w:rPr>
        <w:t xml:space="preserve">Sont interdits : invitations à des événements personnels (week-ends, voyages d'agrément), cadeaux en espèces ou équivalent, cadeaux pendant une procédure de référencement ou de négociation.</w:t>
      </w:r>
    </w:p>
    <w:p>
      <w:pPr>
        <w:spacing w:after="80" w:before="180"/>
      </w:pPr>
      <w:r>
        <w:rPr>
          <w:rFonts w:ascii="Calibri" w:cs="Calibri" w:eastAsia="Calibri" w:hAnsi="Calibri"/>
          <w:b/>
          <w:bCs/>
          <w:color w:val="1F4E79"/>
          <w:sz w:val="20"/>
          <w:szCs w:val="20"/>
        </w:rPr>
        <w:t xml:space="preserve">3.2.2. Paiements de facilitation</w:t>
      </w:r>
    </w:p>
    <w:p>
      <w:pPr>
        <w:pStyle w:val="ListParagraph"/>
        <w:numPr>
          <w:ilvl w:val="0"/>
          <w:numId w:val="2"/>
        </w:numPr>
        <w:spacing w:after="60" w:line="260"/>
      </w:pPr>
      <w:r>
        <w:rPr>
          <w:rFonts w:ascii="Calibri" w:cs="Calibri" w:eastAsia="Calibri" w:hAnsi="Calibri"/>
          <w:sz w:val="20"/>
          <w:szCs w:val="20"/>
        </w:rPr>
        <w:t xml:space="preserve">Refus catégorique de tout paiement de facilitation à un agent public ou privé pour accélérer une procédure ordinaire.</w:t>
      </w:r>
    </w:p>
    <w:p>
      <w:pPr>
        <w:pStyle w:val="ListParagraph"/>
        <w:numPr>
          <w:ilvl w:val="0"/>
          <w:numId w:val="2"/>
        </w:numPr>
        <w:spacing w:after="60" w:line="260"/>
      </w:pPr>
      <w:r>
        <w:rPr>
          <w:rFonts w:ascii="Calibri" w:cs="Calibri" w:eastAsia="Calibri" w:hAnsi="Calibri"/>
          <w:sz w:val="20"/>
          <w:szCs w:val="20"/>
        </w:rPr>
        <w:t xml:space="preserve">En cas de sollicitation d'un tel paiement (pratique parfois rencontrée à l'étranger) : refus immédiat, signalement au Président, signalement aux autorités françaises (DGCCRF, ambassade).</w:t>
      </w:r>
    </w:p>
    <w:p>
      <w:pPr>
        <w:spacing w:after="80" w:before="180"/>
      </w:pPr>
      <w:r>
        <w:rPr>
          <w:rFonts w:ascii="Calibri" w:cs="Calibri" w:eastAsia="Calibri" w:hAnsi="Calibri"/>
          <w:b/>
          <w:bCs/>
          <w:color w:val="1F4E79"/>
          <w:sz w:val="20"/>
          <w:szCs w:val="20"/>
        </w:rPr>
        <w:t xml:space="preserve">3.2.3. Sponsoring et mécénat</w:t>
      </w:r>
    </w:p>
    <w:p>
      <w:pPr>
        <w:pStyle w:val="ListParagraph"/>
        <w:numPr>
          <w:ilvl w:val="0"/>
          <w:numId w:val="2"/>
        </w:numPr>
        <w:spacing w:after="60" w:line="260"/>
      </w:pPr>
      <w:r>
        <w:rPr>
          <w:rFonts w:ascii="Calibri" w:cs="Calibri" w:eastAsia="Calibri" w:hAnsi="Calibri"/>
          <w:sz w:val="20"/>
          <w:szCs w:val="20"/>
        </w:rPr>
        <w:t xml:space="preserve">Sponsoring uniquement avec partenaires loyaux et publics, jamais en lien avec une procédure réglementaire en cours.</w:t>
      </w:r>
    </w:p>
    <w:p>
      <w:pPr>
        <w:pStyle w:val="ListParagraph"/>
        <w:numPr>
          <w:ilvl w:val="0"/>
          <w:numId w:val="2"/>
        </w:numPr>
        <w:spacing w:after="60" w:line="260"/>
      </w:pPr>
      <w:r>
        <w:rPr>
          <w:rFonts w:ascii="Calibri" w:cs="Calibri" w:eastAsia="Calibri" w:hAnsi="Calibri"/>
          <w:sz w:val="20"/>
          <w:szCs w:val="20"/>
        </w:rPr>
        <w:t xml:space="preserve">Mécénat conforme aux dispositions du Code général des impôts (article 238 bis).</w:t>
      </w:r>
    </w:p>
    <w:p>
      <w:pPr>
        <w:pStyle w:val="ListParagraph"/>
        <w:numPr>
          <w:ilvl w:val="0"/>
          <w:numId w:val="2"/>
        </w:numPr>
        <w:spacing w:after="60" w:line="260"/>
      </w:pPr>
      <w:r>
        <w:rPr>
          <w:rFonts w:ascii="Calibri" w:cs="Calibri" w:eastAsia="Calibri" w:hAnsi="Calibri"/>
          <w:sz w:val="20"/>
          <w:szCs w:val="20"/>
        </w:rPr>
        <w:t xml:space="preserve">Aucun versement à des partis politiques ou candidats à des fonctions publiques.</w:t>
      </w:r>
    </w:p>
    <w:p>
      <w:pPr>
        <w:spacing w:after="80" w:before="180"/>
      </w:pPr>
      <w:r>
        <w:rPr>
          <w:rFonts w:ascii="Calibri" w:cs="Calibri" w:eastAsia="Calibri" w:hAnsi="Calibri"/>
          <w:b/>
          <w:bCs/>
          <w:color w:val="1F4E79"/>
          <w:sz w:val="20"/>
          <w:szCs w:val="20"/>
        </w:rPr>
        <w:t xml:space="preserve">3.2.4. Conflits d'intérêts</w:t>
      </w:r>
    </w:p>
    <w:p>
      <w:pPr>
        <w:pStyle w:val="ListParagraph"/>
        <w:numPr>
          <w:ilvl w:val="0"/>
          <w:numId w:val="2"/>
        </w:numPr>
        <w:spacing w:after="60" w:line="260"/>
      </w:pPr>
      <w:r>
        <w:rPr>
          <w:rFonts w:ascii="Calibri" w:cs="Calibri" w:eastAsia="Calibri" w:hAnsi="Calibri"/>
          <w:sz w:val="20"/>
          <w:szCs w:val="20"/>
        </w:rPr>
        <w:t xml:space="preserve">Tout collaborateur ou dirigeant déclare au Président tout conflit d'intérêts potentiel (lien familial avec un fournisseur, intérêt financier dans une entreprise tierce).</w:t>
      </w:r>
    </w:p>
    <w:p>
      <w:pPr>
        <w:pStyle w:val="ListParagraph"/>
        <w:numPr>
          <w:ilvl w:val="0"/>
          <w:numId w:val="2"/>
        </w:numPr>
        <w:spacing w:after="60" w:line="260"/>
      </w:pPr>
      <w:r>
        <w:rPr>
          <w:rFonts w:ascii="Calibri" w:cs="Calibri" w:eastAsia="Calibri" w:hAnsi="Calibri"/>
          <w:sz w:val="20"/>
          <w:szCs w:val="20"/>
        </w:rPr>
        <w:t xml:space="preserve">Le Président prend les mesures appropriées (récusation, transparence, supervision).</w:t>
      </w:r>
    </w:p>
    <w:p>
      <w:pPr>
        <w:pStyle w:val="ListParagraph"/>
        <w:numPr>
          <w:ilvl w:val="0"/>
          <w:numId w:val="2"/>
        </w:numPr>
        <w:spacing w:after="60" w:line="260"/>
      </w:pPr>
      <w:r>
        <w:rPr>
          <w:rFonts w:ascii="Calibri" w:cs="Calibri" w:eastAsia="Calibri" w:hAnsi="Calibri"/>
          <w:sz w:val="20"/>
          <w:szCs w:val="20"/>
        </w:rPr>
        <w:t xml:space="preserve">Tenue d'un registre interne des conflits d'intérêts déclarés.</w:t>
      </w:r>
    </w:p>
    <w:p>
      <w:pPr>
        <w:spacing w:after="80" w:before="180"/>
      </w:pPr>
      <w:r>
        <w:rPr>
          <w:rFonts w:ascii="Calibri" w:cs="Calibri" w:eastAsia="Calibri" w:hAnsi="Calibri"/>
          <w:b/>
          <w:bCs/>
          <w:color w:val="1F4E79"/>
          <w:sz w:val="20"/>
          <w:szCs w:val="20"/>
        </w:rPr>
        <w:t xml:space="preserve">3.2.5. Recrutement et carrière</w:t>
      </w:r>
    </w:p>
    <w:p>
      <w:pPr>
        <w:pStyle w:val="ListParagraph"/>
        <w:numPr>
          <w:ilvl w:val="0"/>
          <w:numId w:val="2"/>
        </w:numPr>
        <w:spacing w:after="60" w:line="260"/>
      </w:pPr>
      <w:r>
        <w:rPr>
          <w:rFonts w:ascii="Calibri" w:cs="Calibri" w:eastAsia="Calibri" w:hAnsi="Calibri"/>
          <w:sz w:val="20"/>
          <w:szCs w:val="20"/>
        </w:rPr>
        <w:t xml:space="preserve">Recrutement basé exclusivement sur les compétences et l'adéquation au poste, sans favoritisme familial ou amical.</w:t>
      </w:r>
    </w:p>
    <w:p>
      <w:pPr>
        <w:pStyle w:val="ListParagraph"/>
        <w:numPr>
          <w:ilvl w:val="0"/>
          <w:numId w:val="2"/>
        </w:numPr>
        <w:spacing w:after="60" w:line="260"/>
      </w:pPr>
      <w:r>
        <w:rPr>
          <w:rFonts w:ascii="Calibri" w:cs="Calibri" w:eastAsia="Calibri" w:hAnsi="Calibri"/>
          <w:sz w:val="20"/>
          <w:szCs w:val="20"/>
        </w:rPr>
        <w:t xml:space="preserve">Promotions et primes basées sur des critères objectifs documentés.</w:t>
      </w:r>
    </w:p>
    <w:p>
      <w:pPr>
        <w:pStyle w:val="ListParagraph"/>
        <w:numPr>
          <w:ilvl w:val="0"/>
          <w:numId w:val="2"/>
        </w:numPr>
        <w:spacing w:after="60" w:line="260"/>
      </w:pPr>
      <w:r>
        <w:rPr>
          <w:rFonts w:ascii="Calibri" w:cs="Calibri" w:eastAsia="Calibri" w:hAnsi="Calibri"/>
          <w:sz w:val="20"/>
          <w:szCs w:val="20"/>
        </w:rPr>
        <w:t xml:space="preserve">Pas d'embauche de proche d'un fournisseur, partenaire ou autorité de contrôle sans information préalable du Président.</w:t>
      </w:r>
    </w:p>
    <w:p>
      <w:pPr>
        <w:spacing w:after="160" w:before="240"/>
      </w:pPr>
      <w:r>
        <w:rPr>
          <w:rFonts w:ascii="Calibri" w:cs="Calibri" w:eastAsia="Calibri" w:hAnsi="Calibri"/>
          <w:b/>
          <w:bCs/>
          <w:color w:val="1F4E79"/>
          <w:sz w:val="32"/>
          <w:szCs w:val="32"/>
        </w:rPr>
        <w:t xml:space="preserve">4. Cartographie des risques de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Risque</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Probabilité</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Impact</w:t>
            </w:r>
          </w:p>
        </w:tc>
        <w:tc>
          <w:tcPr>
            <w:tcW w:type="dxa" w:w="2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Mesures de prévention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Sollicitation d'un cadeau par un partenaire HRA pour référencement préférentiel</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Procédure d'audit qualité formalisée · pluralité de fournisseurs · refus écrit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Paiement de facilitation à un fonctionnaire local (visa, autorisation tourisme)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Très faible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Élevé</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Refus immédiat · signalement Président · documentation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Conflit d'intérêts non déclaré (proche du dirigeant fournisseur Eventy)</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Registre des conflits · déclaration obligatoire annuelle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Sponsoring déguisé en contrepartie d'un avantage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Très faible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Élevé</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Validation Président pour tout sponsoring &gt; 1 K€</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Cadeau personnel à un voyageur en échange d'un avis positif</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Très faible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Élevé</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Politique avis voyageurs (zéro avis rémunéré)</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Détournement de fonds clients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Très faible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Critique</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Cantonnement Stripe Connect · double signature &gt; 5 K€ · audit</w:t>
            </w:r>
          </w:p>
        </w:tc>
      </w:tr>
    </w:tbl>
    <w:p>
      <w:pPr>
        <w:spacing w:after="160" w:before="240"/>
      </w:pPr>
      <w:r>
        <w:rPr>
          <w:rFonts w:ascii="Calibri" w:cs="Calibri" w:eastAsia="Calibri" w:hAnsi="Calibri"/>
          <w:b/>
          <w:bCs/>
          <w:color w:val="1F4E79"/>
          <w:sz w:val="32"/>
          <w:szCs w:val="32"/>
        </w:rPr>
        <w:t xml:space="preserve">5. Dispositif de prévention</w:t>
      </w:r>
    </w:p>
    <w:p>
      <w:pPr>
        <w:spacing w:after="100" w:before="220"/>
      </w:pPr>
      <w:r>
        <w:rPr>
          <w:rFonts w:ascii="Calibri" w:cs="Calibri" w:eastAsia="Calibri" w:hAnsi="Calibri"/>
          <w:b/>
          <w:bCs/>
          <w:color w:val="E87722"/>
          <w:sz w:val="22"/>
          <w:szCs w:val="22"/>
        </w:rPr>
        <w:t xml:space="preserve">5.1. Code de conduite</w:t>
      </w:r>
    </w:p>
    <w:p>
      <w:pPr>
        <w:pStyle w:val="ListParagraph"/>
        <w:numPr>
          <w:ilvl w:val="0"/>
          <w:numId w:val="2"/>
        </w:numPr>
        <w:spacing w:after="60" w:line="260"/>
      </w:pPr>
      <w:r>
        <w:rPr>
          <w:rFonts w:ascii="Calibri" w:cs="Calibri" w:eastAsia="Calibri" w:hAnsi="Calibri"/>
          <w:sz w:val="20"/>
          <w:szCs w:val="20"/>
        </w:rPr>
        <w:t xml:space="preserve">La présente politique est annexée à tout contrat de travail Eventy.</w:t>
      </w:r>
    </w:p>
    <w:p>
      <w:pPr>
        <w:pStyle w:val="ListParagraph"/>
        <w:numPr>
          <w:ilvl w:val="0"/>
          <w:numId w:val="2"/>
        </w:numPr>
        <w:spacing w:after="60" w:line="260"/>
      </w:pPr>
      <w:r>
        <w:rPr>
          <w:rFonts w:ascii="Calibri" w:cs="Calibri" w:eastAsia="Calibri" w:hAnsi="Calibri"/>
          <w:sz w:val="20"/>
          <w:szCs w:val="20"/>
        </w:rPr>
        <w:t xml:space="preserve">La charte fournisseurs reprend les engagements anti-corruption (Article 1 — Probité).</w:t>
      </w:r>
    </w:p>
    <w:p>
      <w:pPr>
        <w:pStyle w:val="ListParagraph"/>
        <w:numPr>
          <w:ilvl w:val="0"/>
          <w:numId w:val="2"/>
        </w:numPr>
        <w:spacing w:after="60" w:line="260"/>
      </w:pPr>
      <w:r>
        <w:rPr>
          <w:rFonts w:ascii="Calibri" w:cs="Calibri" w:eastAsia="Calibri" w:hAnsi="Calibri"/>
          <w:sz w:val="20"/>
          <w:szCs w:val="20"/>
        </w:rPr>
        <w:t xml:space="preserve">Les contrats partenaires (Vendeur, Créateur, HRA) intègrent une clause anti-corruption.</w:t>
      </w:r>
    </w:p>
    <w:p>
      <w:pPr>
        <w:spacing w:after="100" w:before="220"/>
      </w:pPr>
      <w:r>
        <w:rPr>
          <w:rFonts w:ascii="Calibri" w:cs="Calibri" w:eastAsia="Calibri" w:hAnsi="Calibri"/>
          <w:b/>
          <w:bCs/>
          <w:color w:val="E87722"/>
          <w:sz w:val="22"/>
          <w:szCs w:val="22"/>
        </w:rPr>
        <w:t xml:space="preserve">5.2. Formation et sensibilisation</w:t>
      </w:r>
    </w:p>
    <w:p>
      <w:pPr>
        <w:pStyle w:val="ListParagraph"/>
        <w:numPr>
          <w:ilvl w:val="0"/>
          <w:numId w:val="2"/>
        </w:numPr>
        <w:spacing w:after="60" w:line="260"/>
      </w:pPr>
      <w:r>
        <w:rPr>
          <w:rFonts w:ascii="Calibri" w:cs="Calibri" w:eastAsia="Calibri" w:hAnsi="Calibri"/>
          <w:sz w:val="20"/>
          <w:szCs w:val="20"/>
        </w:rPr>
        <w:t xml:space="preserve">Sensibilisation lors de l'onboarding de tout collaborateur.</w:t>
      </w:r>
    </w:p>
    <w:p>
      <w:pPr>
        <w:pStyle w:val="ListParagraph"/>
        <w:numPr>
          <w:ilvl w:val="0"/>
          <w:numId w:val="2"/>
        </w:numPr>
        <w:spacing w:after="60" w:line="260"/>
      </w:pPr>
      <w:r>
        <w:rPr>
          <w:rFonts w:ascii="Calibri" w:cs="Calibri" w:eastAsia="Calibri" w:hAnsi="Calibri"/>
          <w:sz w:val="20"/>
          <w:szCs w:val="20"/>
        </w:rPr>
        <w:t xml:space="preserve">Module dédié dans la formation continue annuelle (1 heure).</w:t>
      </w:r>
    </w:p>
    <w:p>
      <w:pPr>
        <w:pStyle w:val="ListParagraph"/>
        <w:numPr>
          <w:ilvl w:val="0"/>
          <w:numId w:val="2"/>
        </w:numPr>
        <w:spacing w:after="60" w:line="260"/>
      </w:pPr>
      <w:r>
        <w:rPr>
          <w:rFonts w:ascii="Calibri" w:cs="Calibri" w:eastAsia="Calibri" w:hAnsi="Calibri"/>
          <w:sz w:val="20"/>
          <w:szCs w:val="20"/>
        </w:rPr>
        <w:t xml:space="preserve">Communication interne en cas d'évolution réglementaire.</w:t>
      </w:r>
    </w:p>
    <w:p>
      <w:pPr>
        <w:spacing w:after="100" w:before="220"/>
      </w:pPr>
      <w:r>
        <w:rPr>
          <w:rFonts w:ascii="Calibri" w:cs="Calibri" w:eastAsia="Calibri" w:hAnsi="Calibri"/>
          <w:b/>
          <w:bCs/>
          <w:color w:val="E87722"/>
          <w:sz w:val="22"/>
          <w:szCs w:val="22"/>
        </w:rPr>
        <w:t xml:space="preserve">5.3. Procédure de signalement</w:t>
      </w:r>
    </w:p>
    <w:p>
      <w:pPr>
        <w:spacing w:after="100" w:line="280"/>
        <w:jc w:val="both"/>
      </w:pPr>
      <w:r>
        <w:rPr>
          <w:rFonts w:ascii="Calibri" w:cs="Calibri" w:eastAsia="Calibri" w:hAnsi="Calibri"/>
          <w:color w:val="1A1A1A"/>
          <w:sz w:val="20"/>
          <w:szCs w:val="20"/>
        </w:rPr>
        <w:t xml:space="preserve">Tout collaborateur, prestataire ou tiers ayant connaissance d'un fait pouvant relever de la corruption ou d'une infraction connexe est invité à le signaler conformément à la procédure de signalement / lanceurs d'alerte (document dédié).</w:t>
      </w:r>
    </w:p>
    <w:p>
      <w:pPr>
        <w:spacing w:after="160" w:before="240"/>
      </w:pPr>
      <w:r>
        <w:rPr>
          <w:rFonts w:ascii="Calibri" w:cs="Calibri" w:eastAsia="Calibri" w:hAnsi="Calibri"/>
          <w:b/>
          <w:bCs/>
          <w:color w:val="1F4E79"/>
          <w:sz w:val="32"/>
          <w:szCs w:val="32"/>
        </w:rPr>
        <w:t xml:space="preserve">6. Sanctions</w:t>
      </w:r>
    </w:p>
    <w:p>
      <w:pPr>
        <w:pStyle w:val="ListParagraph"/>
        <w:numPr>
          <w:ilvl w:val="0"/>
          <w:numId w:val="2"/>
        </w:numPr>
        <w:spacing w:after="60" w:line="260"/>
      </w:pPr>
      <w:r>
        <w:rPr>
          <w:rFonts w:ascii="Calibri" w:cs="Calibri" w:eastAsia="Calibri" w:hAnsi="Calibri"/>
          <w:sz w:val="20"/>
          <w:szCs w:val="20"/>
        </w:rPr>
        <w:t xml:space="preserve">Manquement avéré : sanction disciplinaire proportionnée (avertissement, suspension, licenciement pour faute grave).</w:t>
      </w:r>
    </w:p>
    <w:p>
      <w:pPr>
        <w:pStyle w:val="ListParagraph"/>
        <w:numPr>
          <w:ilvl w:val="0"/>
          <w:numId w:val="2"/>
        </w:numPr>
        <w:spacing w:after="60" w:line="260"/>
      </w:pPr>
      <w:r>
        <w:rPr>
          <w:rFonts w:ascii="Calibri" w:cs="Calibri" w:eastAsia="Calibri" w:hAnsi="Calibri"/>
          <w:sz w:val="20"/>
          <w:szCs w:val="20"/>
        </w:rPr>
        <w:t xml:space="preserve">Faute pénalement répréhensible : signalement aux autorités (procureur de la République).</w:t>
      </w:r>
    </w:p>
    <w:p>
      <w:pPr>
        <w:pStyle w:val="ListParagraph"/>
        <w:numPr>
          <w:ilvl w:val="0"/>
          <w:numId w:val="2"/>
        </w:numPr>
        <w:spacing w:after="60" w:line="260"/>
      </w:pPr>
      <w:r>
        <w:rPr>
          <w:rFonts w:ascii="Calibri" w:cs="Calibri" w:eastAsia="Calibri" w:hAnsi="Calibri"/>
          <w:sz w:val="20"/>
          <w:szCs w:val="20"/>
        </w:rPr>
        <w:t xml:space="preserve">Préjudice financier subi par Eventy ou par un tiers : action en réparation.</w:t>
      </w:r>
    </w:p>
    <w:p>
      <w:pPr>
        <w:pStyle w:val="ListParagraph"/>
        <w:numPr>
          <w:ilvl w:val="0"/>
          <w:numId w:val="2"/>
        </w:numPr>
        <w:spacing w:after="60" w:line="260"/>
      </w:pPr>
      <w:r>
        <w:rPr>
          <w:rFonts w:ascii="Calibri" w:cs="Calibri" w:eastAsia="Calibri" w:hAnsi="Calibri"/>
          <w:sz w:val="20"/>
          <w:szCs w:val="20"/>
        </w:rPr>
        <w:t xml:space="preserve">Pour les partenaires : déréférencement immédiat et résiliation du contrat-cadre.</w:t>
      </w:r>
    </w:p>
    <w:p>
      <w:pPr>
        <w:spacing w:after="160" w:before="240"/>
      </w:pPr>
      <w:r>
        <w:rPr>
          <w:rFonts w:ascii="Calibri" w:cs="Calibri" w:eastAsia="Calibri" w:hAnsi="Calibri"/>
          <w:b/>
          <w:bCs/>
          <w:color w:val="1F4E79"/>
          <w:sz w:val="32"/>
          <w:szCs w:val="32"/>
        </w:rPr>
        <w:t xml:space="preserve">7. Engagement du dirigeant</w:t>
      </w:r>
    </w:p>
    <w:p>
      <w:pPr>
        <w:spacing w:after="100" w:line="280"/>
        <w:jc w:val="both"/>
      </w:pPr>
      <w:r>
        <w:rPr>
          <w:rFonts w:ascii="Calibri" w:cs="Calibri" w:eastAsia="Calibri" w:hAnsi="Calibri"/>
          <w:color w:val="1A1A1A"/>
          <w:sz w:val="20"/>
          <w:szCs w:val="20"/>
        </w:rPr>
        <w:t xml:space="preserve">Le dirigeant d'EVENTY LIFE SAS s'engage personnellement à :</w:t>
      </w:r>
    </w:p>
    <w:p>
      <w:pPr>
        <w:pStyle w:val="ListParagraph"/>
        <w:numPr>
          <w:ilvl w:val="0"/>
          <w:numId w:val="2"/>
        </w:numPr>
        <w:spacing w:after="60" w:line="260"/>
      </w:pPr>
      <w:r>
        <w:rPr>
          <w:rFonts w:ascii="Calibri" w:cs="Calibri" w:eastAsia="Calibri" w:hAnsi="Calibri"/>
          <w:sz w:val="20"/>
          <w:szCs w:val="20"/>
        </w:rPr>
        <w:t xml:space="preserve">Promouvoir activement la culture éthique au sein de l'entreprise et auprès des partenaires.</w:t>
      </w:r>
    </w:p>
    <w:p>
      <w:pPr>
        <w:pStyle w:val="ListParagraph"/>
        <w:numPr>
          <w:ilvl w:val="0"/>
          <w:numId w:val="2"/>
        </w:numPr>
        <w:spacing w:after="60" w:line="260"/>
      </w:pPr>
      <w:r>
        <w:rPr>
          <w:rFonts w:ascii="Calibri" w:cs="Calibri" w:eastAsia="Calibri" w:hAnsi="Calibri"/>
          <w:sz w:val="20"/>
          <w:szCs w:val="20"/>
        </w:rPr>
        <w:t xml:space="preserve">Faire respecter la présente politique sans exception, y compris à son propre niveau.</w:t>
      </w:r>
    </w:p>
    <w:p>
      <w:pPr>
        <w:pStyle w:val="ListParagraph"/>
        <w:numPr>
          <w:ilvl w:val="0"/>
          <w:numId w:val="2"/>
        </w:numPr>
        <w:spacing w:after="60" w:line="260"/>
      </w:pPr>
      <w:r>
        <w:rPr>
          <w:rFonts w:ascii="Calibri" w:cs="Calibri" w:eastAsia="Calibri" w:hAnsi="Calibri"/>
          <w:sz w:val="20"/>
          <w:szCs w:val="20"/>
        </w:rPr>
        <w:t xml:space="preserve">Coopérer pleinement avec toute autorité de contrôle ou enquête.</w:t>
      </w:r>
    </w:p>
    <w:p>
      <w:pPr>
        <w:pStyle w:val="ListParagraph"/>
        <w:numPr>
          <w:ilvl w:val="0"/>
          <w:numId w:val="2"/>
        </w:numPr>
        <w:spacing w:after="60" w:line="260"/>
      </w:pPr>
      <w:r>
        <w:rPr>
          <w:rFonts w:ascii="Calibri" w:cs="Calibri" w:eastAsia="Calibri" w:hAnsi="Calibri"/>
          <w:sz w:val="20"/>
          <w:szCs w:val="20"/>
        </w:rPr>
        <w:t xml:space="preserve">Réviser annuellement la présente politique en fonction des évolutions réglementaires et des incidents constatés.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et externe — Version 1.0 — 30 avril 2026. Mise à jour annuelle.</w:t>
      </w:r>
    </w:p>
    <w:p>
      <w:pPr>
        <w:spacing w:after="100" w:line="280"/>
        <w:jc w:val="both"/>
      </w:pPr>
      <w:r>
        <w:rPr>
          <w:rFonts w:ascii="Calibri" w:cs="Calibri" w:eastAsia="Calibri" w:hAnsi="Calibri"/>
          <w:i/>
          <w:iCs/>
          <w:color w:val="555555"/>
          <w:sz w:val="18"/>
          <w:szCs w:val="18"/>
        </w:rPr>
        <w:t xml:space="preserve">Cohérence avec : Politique RSE (pilier gouvernance) · Charte fournisseurs (Article 1) · Procédure de signalement / lanceurs d'alerte.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anti-corruption</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anti-corruption</dc:title>
  <dc:creator>David Eventy — Eventy Life SAS</dc:creator>
  <dc:description>Politique anti-corruption inspirée de la loi Sapin 2.</dc:description>
  <cp:lastModifiedBy>Un-named</cp:lastModifiedBy>
  <cp:revision>1</cp:revision>
  <dcterms:created xsi:type="dcterms:W3CDTF">2026-04-30T13:59:29.030Z</dcterms:created>
  <dcterms:modified xsi:type="dcterms:W3CDTF">2026-04-30T13:59:29.031Z</dcterms:modified>
</cp:coreProperties>
</file>

<file path=docProps/custom.xml><?xml version="1.0" encoding="utf-8"?>
<Properties xmlns="http://schemas.openxmlformats.org/officeDocument/2006/custom-properties" xmlns:vt="http://schemas.openxmlformats.org/officeDocument/2006/docPropsVTypes"/>
</file>