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CONTRAT HRA PARTENAIRE EVENTY</w:t>
            </w:r>
          </w:p>
          <w:p>
            <w:pPr>
              <w:spacing w:after="0"/>
              <w:jc w:val="center"/>
            </w:pPr>
            <w:r>
              <w:rPr>
                <w:rFonts w:ascii="Calibri" w:cs="Calibri" w:eastAsia="Calibri" w:hAnsi="Calibri"/>
                <w:i/>
                <w:iCs/>
                <w:color w:val="1F4E79"/>
                <w:sz w:val="18"/>
                <w:szCs w:val="18"/>
              </w:rPr>
              <w:t xml:space="preserve">Hôtels · Restaurants · Activités — tarif négocié et marge socle Eventy</w:t>
            </w:r>
          </w:p>
        </w:tc>
      </w:tr>
    </w:tbl>
    <w:p>
      <w:pPr>
        <w:spacing w:after="160"/>
      </w:pPr>
      <w:r>
        <w:t xml:space="preserve"/>
      </w:r>
    </w:p>
    <w:p>
      <w:pPr>
        <w:spacing w:after="100" w:line="280"/>
        <w:jc w:val="both"/>
      </w:pPr>
      <w:r>
        <w:rPr>
          <w:rFonts w:ascii="Calibri" w:cs="Calibri" w:eastAsia="Calibri" w:hAnsi="Calibri"/>
          <w:b/>
          <w:bCs/>
          <w:color w:val="1A1A1A"/>
          <w:sz w:val="20"/>
          <w:szCs w:val="20"/>
        </w:rPr>
        <w:t xml:space="preserve">ENTRE LES SOUSSIGNÉS :</w:t>
      </w:r>
    </w:p>
    <w:p>
      <w:pPr>
        <w:spacing w:after="100" w:line="280"/>
        <w:jc w:val="both"/>
      </w:pPr>
      <w:r>
        <w:rPr>
          <w:rFonts w:ascii="Calibri" w:cs="Calibri" w:eastAsia="Calibri" w:hAnsi="Calibri"/>
          <w:color w:val="1A1A1A"/>
          <w:sz w:val="20"/>
          <w:szCs w:val="20"/>
        </w:rPr>
        <w:t xml:space="preserve">D'une part, EVENTY LIFE SAS au capital de [montant] €, dont le siège social est sis [adresse], immatriculée au RCS de [ville] sous le numéro [SIREN], immatriculée au registre des opérateurs de voyages et de séjours d'Atout France sous le numéro IM [###-###-###], représentée par M. David Eventy, Président, ci-après dénommée « EVENTY » ;</w:t>
      </w:r>
    </w:p>
    <w:p>
      <w:pPr>
        <w:spacing w:after="100" w:line="280"/>
        <w:jc w:val="both"/>
      </w:pPr>
      <w:r>
        <w:rPr>
          <w:rFonts w:ascii="Calibri" w:cs="Calibri" w:eastAsia="Calibri" w:hAnsi="Calibri"/>
          <w:color w:val="1A1A1A"/>
          <w:sz w:val="20"/>
          <w:szCs w:val="20"/>
        </w:rPr>
        <w:t xml:space="preserve">D'autre part, [Raison sociale du HRA], dont le siège est sis [adresse complète], immatriculé au [RCS de … / équivalent local] sous le numéro [SIREN ou équivalent], représenté par [Nom Prénom du dirigeant], en qualité de [fonction], ci-après dénommé « le PARTENAIRE HRA » ou « le HRA » ;</w:t>
      </w:r>
    </w:p>
    <w:p>
      <w:pPr>
        <w:spacing w:after="100" w:line="280"/>
        <w:jc w:val="both"/>
      </w:pPr>
      <w:r>
        <w:rPr>
          <w:rFonts w:ascii="Calibri" w:cs="Calibri" w:eastAsia="Calibri" w:hAnsi="Calibri"/>
          <w:color w:val="1A1A1A"/>
          <w:sz w:val="20"/>
          <w:szCs w:val="20"/>
        </w:rPr>
        <w:t xml:space="preserve">Il a été préalablement exposé ce qui suit. EVENTY est un opérateur de voyages à forfait au sens des articles L211-1 et suivants du Code du Tourisme. Le HRA exerce une activité d'[hôtellerie / restauration / activité touristique — préciser] et souhaite fournir, dans le cadre des voyages organisés par EVENTY, les prestations correspondant à son cœur de métier. Sur ces bases, il a été convenu ce qui suit.</w:t>
      </w:r>
    </w:p>
    <w:p>
      <w:pPr>
        <w:spacing w:after="100" w:before="220"/>
      </w:pPr>
      <w:r>
        <w:rPr>
          <w:rFonts w:ascii="Calibri" w:cs="Calibri" w:eastAsia="Calibri" w:hAnsi="Calibri"/>
          <w:b/>
          <w:bCs/>
          <w:color w:val="E87722"/>
          <w:sz w:val="22"/>
          <w:szCs w:val="22"/>
        </w:rPr>
        <w:t xml:space="preserve">Article 1 — Objet</w:t>
      </w:r>
    </w:p>
    <w:p>
      <w:pPr>
        <w:spacing w:after="100" w:line="280"/>
        <w:jc w:val="both"/>
      </w:pPr>
      <w:r>
        <w:rPr>
          <w:rFonts w:ascii="Calibri" w:cs="Calibri" w:eastAsia="Calibri" w:hAnsi="Calibri"/>
          <w:color w:val="1A1A1A"/>
          <w:sz w:val="20"/>
          <w:szCs w:val="20"/>
        </w:rPr>
        <w:t xml:space="preserve">Le présent contrat a pour objet de définir les conditions générales de référencement et de fourniture des prestations du HRA dans les voyages organisés par EVENTY. Chaque voyage donnera lieu à un bon de commande spécifique précisant les dates, le nombre de voyageurs, les prestations et le prix négocié. Le HRA n'a aucune qualité d'opérateur de voyages au sens du Code du Tourisme.</w:t>
      </w:r>
    </w:p>
    <w:p>
      <w:pPr>
        <w:spacing w:after="100" w:before="220"/>
      </w:pPr>
      <w:r>
        <w:rPr>
          <w:rFonts w:ascii="Calibri" w:cs="Calibri" w:eastAsia="Calibri" w:hAnsi="Calibri"/>
          <w:b/>
          <w:bCs/>
          <w:color w:val="E87722"/>
          <w:sz w:val="22"/>
          <w:szCs w:val="22"/>
        </w:rPr>
        <w:t xml:space="preserve">Article 2 — Référencement</w:t>
      </w:r>
    </w:p>
    <w:p>
      <w:pPr>
        <w:spacing w:after="100" w:line="280"/>
        <w:jc w:val="both"/>
      </w:pPr>
      <w:r>
        <w:rPr>
          <w:rFonts w:ascii="Calibri" w:cs="Calibri" w:eastAsia="Calibri" w:hAnsi="Calibri"/>
          <w:color w:val="1A1A1A"/>
          <w:sz w:val="20"/>
          <w:szCs w:val="20"/>
        </w:rPr>
        <w:t xml:space="preserve">Le référencement du HRA dans le catalogue Eventy est conditionné à la production des pièces justificatives suivantes (préalablement à toute commande) :</w:t>
      </w:r>
    </w:p>
    <w:p>
      <w:pPr>
        <w:pStyle w:val="ListParagraph"/>
        <w:numPr>
          <w:ilvl w:val="0"/>
          <w:numId w:val="2"/>
        </w:numPr>
        <w:spacing w:after="60" w:line="260"/>
      </w:pPr>
      <w:r>
        <w:rPr>
          <w:rFonts w:ascii="Calibri" w:cs="Calibri" w:eastAsia="Calibri" w:hAnsi="Calibri"/>
          <w:sz w:val="20"/>
          <w:szCs w:val="20"/>
        </w:rPr>
        <w:t xml:space="preserve">Justificatif d'immatriculation (Kbis ou équivalent local de moins de 3 mois).</w:t>
      </w:r>
    </w:p>
    <w:p>
      <w:pPr>
        <w:pStyle w:val="ListParagraph"/>
        <w:numPr>
          <w:ilvl w:val="0"/>
          <w:numId w:val="2"/>
        </w:numPr>
        <w:spacing w:after="60" w:line="260"/>
      </w:pPr>
      <w:r>
        <w:rPr>
          <w:rFonts w:ascii="Calibri" w:cs="Calibri" w:eastAsia="Calibri" w:hAnsi="Calibri"/>
          <w:sz w:val="20"/>
          <w:szCs w:val="20"/>
        </w:rPr>
        <w:t xml:space="preserve">Attestation URSSAF (ou équivalent local) à jour.</w:t>
      </w:r>
    </w:p>
    <w:p>
      <w:pPr>
        <w:pStyle w:val="ListParagraph"/>
        <w:numPr>
          <w:ilvl w:val="0"/>
          <w:numId w:val="2"/>
        </w:numPr>
        <w:spacing w:after="60" w:line="260"/>
      </w:pPr>
      <w:r>
        <w:rPr>
          <w:rFonts w:ascii="Calibri" w:cs="Calibri" w:eastAsia="Calibri" w:hAnsi="Calibri"/>
          <w:sz w:val="20"/>
          <w:szCs w:val="20"/>
        </w:rPr>
        <w:t xml:space="preserve">Justificatif d'assurance responsabilité civile professionnelle (RC Pro).</w:t>
      </w:r>
    </w:p>
    <w:p>
      <w:pPr>
        <w:pStyle w:val="ListParagraph"/>
        <w:numPr>
          <w:ilvl w:val="0"/>
          <w:numId w:val="2"/>
        </w:numPr>
        <w:spacing w:after="60" w:line="260"/>
      </w:pPr>
      <w:r>
        <w:rPr>
          <w:rFonts w:ascii="Calibri" w:cs="Calibri" w:eastAsia="Calibri" w:hAnsi="Calibri"/>
          <w:sz w:val="20"/>
          <w:szCs w:val="20"/>
        </w:rPr>
        <w:t xml:space="preserve">Pour la restauration : attestation de conformité hygiène et sécurité (HACCP ou équivalent).</w:t>
      </w:r>
    </w:p>
    <w:p>
      <w:pPr>
        <w:pStyle w:val="ListParagraph"/>
        <w:numPr>
          <w:ilvl w:val="0"/>
          <w:numId w:val="2"/>
        </w:numPr>
        <w:spacing w:after="60" w:line="260"/>
      </w:pPr>
      <w:r>
        <w:rPr>
          <w:rFonts w:ascii="Calibri" w:cs="Calibri" w:eastAsia="Calibri" w:hAnsi="Calibri"/>
          <w:sz w:val="20"/>
          <w:szCs w:val="20"/>
        </w:rPr>
        <w:t xml:space="preserve">Pour l'hôtellerie : classement officiel (étoiles, Atout France ou équivalent local).</w:t>
      </w:r>
    </w:p>
    <w:p>
      <w:pPr>
        <w:pStyle w:val="ListParagraph"/>
        <w:numPr>
          <w:ilvl w:val="0"/>
          <w:numId w:val="2"/>
        </w:numPr>
        <w:spacing w:after="60" w:line="260"/>
      </w:pPr>
      <w:r>
        <w:rPr>
          <w:rFonts w:ascii="Calibri" w:cs="Calibri" w:eastAsia="Calibri" w:hAnsi="Calibri"/>
          <w:sz w:val="20"/>
          <w:szCs w:val="20"/>
        </w:rPr>
        <w:t xml:space="preserve">Pour les activités : agrément spécifique selon la nature de l'activité (guide, sportif, etc.).</w:t>
      </w:r>
    </w:p>
    <w:p>
      <w:pPr>
        <w:pStyle w:val="ListParagraph"/>
        <w:numPr>
          <w:ilvl w:val="0"/>
          <w:numId w:val="2"/>
        </w:numPr>
        <w:spacing w:after="60" w:line="260"/>
      </w:pPr>
      <w:r>
        <w:rPr>
          <w:rFonts w:ascii="Calibri" w:cs="Calibri" w:eastAsia="Calibri" w:hAnsi="Calibri"/>
          <w:sz w:val="20"/>
          <w:szCs w:val="20"/>
        </w:rPr>
        <w:t xml:space="preserve">Capacité d'accueil simultanée minimum : 38 voyageurs sur la prestation concernée (sauf accord spécifique pour des prestations partielles).</w:t>
      </w:r>
    </w:p>
    <w:p>
      <w:pPr>
        <w:spacing w:after="100" w:before="220"/>
      </w:pPr>
      <w:r>
        <w:rPr>
          <w:rFonts w:ascii="Calibri" w:cs="Calibri" w:eastAsia="Calibri" w:hAnsi="Calibri"/>
          <w:b/>
          <w:bCs/>
          <w:color w:val="E87722"/>
          <w:sz w:val="22"/>
          <w:szCs w:val="22"/>
        </w:rPr>
        <w:t xml:space="preserve">Article 3 — Modalités de commande</w:t>
      </w:r>
    </w:p>
    <w:p>
      <w:pPr>
        <w:pStyle w:val="ListParagraph"/>
        <w:numPr>
          <w:ilvl w:val="0"/>
          <w:numId w:val="2"/>
        </w:numPr>
        <w:spacing w:after="60" w:line="260"/>
      </w:pPr>
      <w:r>
        <w:rPr>
          <w:rFonts w:ascii="Calibri" w:cs="Calibri" w:eastAsia="Calibri" w:hAnsi="Calibri"/>
          <w:sz w:val="20"/>
          <w:szCs w:val="20"/>
        </w:rPr>
        <w:t xml:space="preserve">EVENTY adresse au HRA un bon de commande pour chaque voyage : date(s), nombre exact de voyageurs, prestations attendues, prix unitaire et total négocié, allergènes et besoins spécifiques signalés.</w:t>
      </w:r>
    </w:p>
    <w:p>
      <w:pPr>
        <w:pStyle w:val="ListParagraph"/>
        <w:numPr>
          <w:ilvl w:val="0"/>
          <w:numId w:val="2"/>
        </w:numPr>
        <w:spacing w:after="60" w:line="260"/>
      </w:pPr>
      <w:r>
        <w:rPr>
          <w:rFonts w:ascii="Calibri" w:cs="Calibri" w:eastAsia="Calibri" w:hAnsi="Calibri"/>
          <w:sz w:val="20"/>
          <w:szCs w:val="20"/>
        </w:rPr>
        <w:t xml:space="preserve">Le HRA confirme la commande par retour écrit (email ou plateforme Eventy) sous quarante-huit (48) heures.</w:t>
      </w:r>
    </w:p>
    <w:p>
      <w:pPr>
        <w:pStyle w:val="ListParagraph"/>
        <w:numPr>
          <w:ilvl w:val="0"/>
          <w:numId w:val="2"/>
        </w:numPr>
        <w:spacing w:after="60" w:line="260"/>
      </w:pPr>
      <w:r>
        <w:rPr>
          <w:rFonts w:ascii="Calibri" w:cs="Calibri" w:eastAsia="Calibri" w:hAnsi="Calibri"/>
          <w:sz w:val="20"/>
          <w:szCs w:val="20"/>
        </w:rPr>
        <w:t xml:space="preserve">Toute modification du bon de commande postérieure à la confirmation requiert l'accord exprès des deux parties, formalisé par écrit.</w:t>
      </w:r>
    </w:p>
    <w:p>
      <w:pPr>
        <w:pStyle w:val="ListParagraph"/>
        <w:numPr>
          <w:ilvl w:val="0"/>
          <w:numId w:val="2"/>
        </w:numPr>
        <w:spacing w:after="60" w:line="260"/>
      </w:pPr>
      <w:r>
        <w:rPr>
          <w:rFonts w:ascii="Calibri" w:cs="Calibri" w:eastAsia="Calibri" w:hAnsi="Calibri"/>
          <w:sz w:val="20"/>
          <w:szCs w:val="20"/>
        </w:rPr>
        <w:t xml:space="preserve">L'annulation par EVENTY moins de trente (30) jours avant la prestation ouvre droit à indemnisation forfaitaire selon le barème suivant : 15 % du montant entre J-30 et J-15 ; 30 % entre J-14 et J-7 ; 50 % entre J-6 et J-1 ; 100 % le jour J. L'annulation pour cause de seuil minimum voyageurs non atteint ou pour cause de force majeure suit un régime spécifique défini en annexe.</w:t>
      </w:r>
    </w:p>
    <w:p>
      <w:pPr>
        <w:spacing w:after="100" w:before="220"/>
      </w:pPr>
      <w:r>
        <w:rPr>
          <w:rFonts w:ascii="Calibri" w:cs="Calibri" w:eastAsia="Calibri" w:hAnsi="Calibri"/>
          <w:b/>
          <w:bCs/>
          <w:color w:val="E87722"/>
          <w:sz w:val="22"/>
          <w:szCs w:val="22"/>
        </w:rPr>
        <w:t xml:space="preserve">Article 4 — Standards de qualité</w:t>
      </w:r>
    </w:p>
    <w:p>
      <w:pPr>
        <w:pStyle w:val="ListParagraph"/>
        <w:numPr>
          <w:ilvl w:val="0"/>
          <w:numId w:val="2"/>
        </w:numPr>
        <w:spacing w:after="60" w:line="260"/>
      </w:pPr>
      <w:r>
        <w:rPr>
          <w:rFonts w:ascii="Calibri" w:cs="Calibri" w:eastAsia="Calibri" w:hAnsi="Calibri"/>
          <w:sz w:val="20"/>
          <w:szCs w:val="20"/>
        </w:rPr>
        <w:t xml:space="preserve">Conformité permanente aux normes d'hygiène, sécurité et accessibilité applicables localement.</w:t>
      </w:r>
    </w:p>
    <w:p>
      <w:pPr>
        <w:pStyle w:val="ListParagraph"/>
        <w:numPr>
          <w:ilvl w:val="0"/>
          <w:numId w:val="2"/>
        </w:numPr>
        <w:spacing w:after="60" w:line="260"/>
      </w:pPr>
      <w:r>
        <w:rPr>
          <w:rFonts w:ascii="Calibri" w:cs="Calibri" w:eastAsia="Calibri" w:hAnsi="Calibri"/>
          <w:sz w:val="20"/>
          <w:szCs w:val="20"/>
        </w:rPr>
        <w:t xml:space="preserve">Communication systématique des allergènes et restrictions alimentaires (restauration).</w:t>
      </w:r>
    </w:p>
    <w:p>
      <w:pPr>
        <w:pStyle w:val="ListParagraph"/>
        <w:numPr>
          <w:ilvl w:val="0"/>
          <w:numId w:val="2"/>
        </w:numPr>
        <w:spacing w:after="60" w:line="260"/>
      </w:pPr>
      <w:r>
        <w:rPr>
          <w:rFonts w:ascii="Calibri" w:cs="Calibri" w:eastAsia="Calibri" w:hAnsi="Calibri"/>
          <w:sz w:val="20"/>
          <w:szCs w:val="20"/>
        </w:rPr>
        <w:t xml:space="preserve">Respect strict du programme communiqué au voyageur ; toute substitution requiert l'accord écrit préalable d'EVENTY.</w:t>
      </w:r>
    </w:p>
    <w:p>
      <w:pPr>
        <w:pStyle w:val="ListParagraph"/>
        <w:numPr>
          <w:ilvl w:val="0"/>
          <w:numId w:val="2"/>
        </w:numPr>
        <w:spacing w:after="60" w:line="260"/>
      </w:pPr>
      <w:r>
        <w:rPr>
          <w:rFonts w:ascii="Calibri" w:cs="Calibri" w:eastAsia="Calibri" w:hAnsi="Calibri"/>
          <w:sz w:val="20"/>
          <w:szCs w:val="20"/>
        </w:rPr>
        <w:t xml:space="preserve">Capacité de tenir le rythme opérationnel des voyages de groupe (timing des repas, gestion des arrivées/départs simultanés, etc.).</w:t>
      </w:r>
    </w:p>
    <w:p>
      <w:pPr>
        <w:pStyle w:val="ListParagraph"/>
        <w:numPr>
          <w:ilvl w:val="0"/>
          <w:numId w:val="2"/>
        </w:numPr>
        <w:spacing w:after="60" w:line="260"/>
      </w:pPr>
      <w:r>
        <w:rPr>
          <w:rFonts w:ascii="Calibri" w:cs="Calibri" w:eastAsia="Calibri" w:hAnsi="Calibri"/>
          <w:sz w:val="20"/>
          <w:szCs w:val="20"/>
        </w:rPr>
        <w:t xml:space="preserve">Signalement immédiat à EVENTY de tout incident affectant l'exécution de la prestation.</w:t>
      </w:r>
    </w:p>
    <w:p>
      <w:pPr>
        <w:pStyle w:val="ListParagraph"/>
        <w:numPr>
          <w:ilvl w:val="0"/>
          <w:numId w:val="2"/>
        </w:numPr>
        <w:spacing w:after="60" w:line="260"/>
      </w:pPr>
      <w:r>
        <w:rPr>
          <w:rFonts w:ascii="Calibri" w:cs="Calibri" w:eastAsia="Calibri" w:hAnsi="Calibri"/>
          <w:sz w:val="20"/>
          <w:szCs w:val="20"/>
        </w:rPr>
        <w:t xml:space="preserve">Audit qualité possible par EVENTY (annuel ou ponctuel selon retours voyageurs).</w:t>
      </w:r>
    </w:p>
    <w:p>
      <w:pPr>
        <w:spacing w:after="100" w:before="220"/>
      </w:pPr>
      <w:r>
        <w:rPr>
          <w:rFonts w:ascii="Calibri" w:cs="Calibri" w:eastAsia="Calibri" w:hAnsi="Calibri"/>
          <w:b/>
          <w:bCs/>
          <w:color w:val="E87722"/>
          <w:sz w:val="22"/>
          <w:szCs w:val="22"/>
        </w:rPr>
        <w:t xml:space="preserve">Article 5 — Modalités de paiement et mécanique de marge</w:t>
      </w:r>
    </w:p>
    <w:p>
      <w:pPr>
        <w:spacing w:after="100" w:line="280"/>
        <w:jc w:val="both"/>
      </w:pPr>
      <w:r>
        <w:rPr>
          <w:rFonts w:ascii="Calibri" w:cs="Calibri" w:eastAsia="Calibri" w:hAnsi="Calibri"/>
          <w:color w:val="1A1A1A"/>
          <w:sz w:val="20"/>
          <w:szCs w:val="20"/>
        </w:rPr>
        <w:t xml:space="preserve">Le HRA facture EVENTY au prix négocié figurant sur le bon de commande. Ce prix correspond au coût d'achat des prestations par EVENTY (« HRA acheté »). EVENTY refacture ces prestations au voyageur dans le prix total du voyage à un montant légèrement supérieur (« HRA refacturé »), le différentiel constituant la marge socle d'EVENTY.</w:t>
      </w:r>
    </w:p>
    <w:p>
      <w:pPr>
        <w:spacing w:after="100" w:line="280"/>
        <w:jc w:val="both"/>
      </w:pPr>
      <w:r>
        <w:rPr>
          <w:rFonts w:ascii="Calibri" w:cs="Calibri" w:eastAsia="Calibri" w:hAnsi="Calibri"/>
          <w:color w:val="1A1A1A"/>
          <w:sz w:val="20"/>
          <w:szCs w:val="20"/>
        </w:rPr>
        <w:t xml:space="preserve">Cette mécanique respecte intégralement le régime de TVA marge tourisme prévu par l'article 266-1-e du Code Général des Impôts (BOI-TVA-SECT-60). Le HRA n'a aucun droit ni regard sur le prix de refacturation au voyageur, qui relève de la libre détermination commerciale d'EVENTY.</w:t>
      </w:r>
    </w:p>
    <w:p>
      <w:pPr>
        <w:spacing w:after="100" w:line="280"/>
        <w:jc w:val="both"/>
      </w:pPr>
      <w:r>
        <w:rPr>
          <w:rFonts w:ascii="Calibri" w:cs="Calibri" w:eastAsia="Calibri" w:hAnsi="Calibri"/>
          <w:color w:val="1A1A1A"/>
          <w:sz w:val="20"/>
          <w:szCs w:val="20"/>
        </w:rPr>
        <w:t xml:space="preserve">Les modalités de paiement sont les suivantes :</w:t>
      </w:r>
    </w:p>
    <w:p>
      <w:pPr>
        <w:pStyle w:val="ListParagraph"/>
        <w:numPr>
          <w:ilvl w:val="0"/>
          <w:numId w:val="2"/>
        </w:numPr>
        <w:spacing w:after="60" w:line="260"/>
      </w:pPr>
      <w:r>
        <w:rPr>
          <w:rFonts w:ascii="Calibri" w:cs="Calibri" w:eastAsia="Calibri" w:hAnsi="Calibri"/>
          <w:sz w:val="20"/>
          <w:szCs w:val="20"/>
        </w:rPr>
        <w:t xml:space="preserve">EVENTY règle les prestations à trente (30) jours fin de mois à compter de la date de fin de séjour, par virement bancaire sur le compte renseigné par le HRA.</w:t>
      </w:r>
    </w:p>
    <w:p>
      <w:pPr>
        <w:pStyle w:val="ListParagraph"/>
        <w:numPr>
          <w:ilvl w:val="0"/>
          <w:numId w:val="2"/>
        </w:numPr>
        <w:spacing w:after="60" w:line="260"/>
      </w:pPr>
      <w:r>
        <w:rPr>
          <w:rFonts w:ascii="Calibri" w:cs="Calibri" w:eastAsia="Calibri" w:hAnsi="Calibri"/>
          <w:sz w:val="20"/>
          <w:szCs w:val="20"/>
        </w:rPr>
        <w:t xml:space="preserve">Aucun acompte n'est versé au HRA avant l'exécution effective de la prestation, sauf accord spécifique écrit. Cette discipline garantit que les fonds clients en transit demeurent sous le contrôle d'EVENTY (et donc de la garantie financière APST) jusqu'à l'exécution effective des prestations au profit du voyageur.</w:t>
      </w:r>
    </w:p>
    <w:p>
      <w:pPr>
        <w:pStyle w:val="ListParagraph"/>
        <w:numPr>
          <w:ilvl w:val="0"/>
          <w:numId w:val="2"/>
        </w:numPr>
        <w:spacing w:after="60" w:line="260"/>
      </w:pPr>
      <w:r>
        <w:rPr>
          <w:rFonts w:ascii="Calibri" w:cs="Calibri" w:eastAsia="Calibri" w:hAnsi="Calibri"/>
          <w:sz w:val="20"/>
          <w:szCs w:val="20"/>
        </w:rPr>
        <w:t xml:space="preserve">Les pénalités prévues à l'article 3 sont versées par EVENTY au HRA selon le même calendrier que les paiements ordinaires.</w:t>
      </w:r>
    </w:p>
    <w:p>
      <w:pPr>
        <w:spacing w:after="100" w:before="220"/>
      </w:pPr>
      <w:r>
        <w:rPr>
          <w:rFonts w:ascii="Calibri" w:cs="Calibri" w:eastAsia="Calibri" w:hAnsi="Calibri"/>
          <w:b/>
          <w:bCs/>
          <w:color w:val="E87722"/>
          <w:sz w:val="22"/>
          <w:szCs w:val="22"/>
        </w:rPr>
        <w:t xml:space="preserve">Article 6 — Possibilité « vendeur » offerte au HRA</w:t>
      </w:r>
    </w:p>
    <w:p>
      <w:pPr>
        <w:spacing w:after="100" w:line="280"/>
        <w:jc w:val="both"/>
      </w:pPr>
      <w:r>
        <w:rPr>
          <w:rFonts w:ascii="Calibri" w:cs="Calibri" w:eastAsia="Calibri" w:hAnsi="Calibri"/>
          <w:color w:val="1A1A1A"/>
          <w:sz w:val="20"/>
          <w:szCs w:val="20"/>
        </w:rPr>
        <w:t xml:space="preserve">Le HRA peut, s'il le souhaite, devenir simultanément vendeur Eventy en partageant les voyages d'EVENTY à sa propre clientèle. Il bénéficie alors de la commission « vendeur » de 5 % HT du CA voyage placé. Ce cumul fait l'objet d'un avenant spécifique au présent contrat-cadre, formalisé entre les parties. La qualité de vendeur n'altère en rien le régime de tarification applicable aux prestations HRA fournies au titre du présent contrat.</w:t>
      </w:r>
    </w:p>
    <w:p>
      <w:pPr>
        <w:spacing w:after="100" w:before="220"/>
      </w:pPr>
      <w:r>
        <w:rPr>
          <w:rFonts w:ascii="Calibri" w:cs="Calibri" w:eastAsia="Calibri" w:hAnsi="Calibri"/>
          <w:b/>
          <w:bCs/>
          <w:color w:val="E87722"/>
          <w:sz w:val="22"/>
          <w:szCs w:val="22"/>
        </w:rPr>
        <w:t xml:space="preserve">Article 7 — Indépendance et non-exclusivité</w:t>
      </w:r>
    </w:p>
    <w:p>
      <w:pPr>
        <w:spacing w:after="100" w:line="280"/>
        <w:jc w:val="both"/>
      </w:pPr>
      <w:r>
        <w:rPr>
          <w:rFonts w:ascii="Calibri" w:cs="Calibri" w:eastAsia="Calibri" w:hAnsi="Calibri"/>
          <w:color w:val="1A1A1A"/>
          <w:sz w:val="20"/>
          <w:szCs w:val="20"/>
        </w:rPr>
        <w:t xml:space="preserve">Le HRA conserve sa pleine indépendance commerciale et juridique. Aucune clause d'exclusivité ne s'applique sauf avenant exprès et explicitement rémunéré. Le HRA est libre de servir simultanément d'autres opérateurs de voyages ou des clients individuels.</w:t>
      </w:r>
    </w:p>
    <w:p>
      <w:pPr>
        <w:spacing w:after="100" w:before="220"/>
      </w:pPr>
      <w:r>
        <w:rPr>
          <w:rFonts w:ascii="Calibri" w:cs="Calibri" w:eastAsia="Calibri" w:hAnsi="Calibri"/>
          <w:b/>
          <w:bCs/>
          <w:color w:val="E87722"/>
          <w:sz w:val="22"/>
          <w:szCs w:val="22"/>
        </w:rPr>
        <w:t xml:space="preserve">Article 8 — Confidentialité et RGPD</w:t>
      </w:r>
    </w:p>
    <w:p>
      <w:pPr>
        <w:spacing w:after="100" w:line="280"/>
        <w:jc w:val="both"/>
      </w:pPr>
      <w:r>
        <w:rPr>
          <w:rFonts w:ascii="Calibri" w:cs="Calibri" w:eastAsia="Calibri" w:hAnsi="Calibri"/>
          <w:color w:val="1A1A1A"/>
          <w:sz w:val="20"/>
          <w:szCs w:val="20"/>
        </w:rPr>
        <w:t xml:space="preserve">Le HRA s'engage à respecter strictement la confidentialité des données personnelles des voyageurs auxquelles il a accès dans le cadre de l'exécution du présent contrat (listes de noms, allergènes, conditions médicales signalées), conformément au règlement (UE) 2016/679 (RGPD). Cette obligation perdure cinq (5) ans après la cessation du contrat. EVENTY est responsable de traitement ; le HRA est sous-traitant au sens de l'article 28 du RGPD.</w:t>
      </w:r>
    </w:p>
    <w:p>
      <w:pPr>
        <w:spacing w:after="100" w:before="220"/>
      </w:pPr>
      <w:r>
        <w:rPr>
          <w:rFonts w:ascii="Calibri" w:cs="Calibri" w:eastAsia="Calibri" w:hAnsi="Calibri"/>
          <w:b/>
          <w:bCs/>
          <w:color w:val="E87722"/>
          <w:sz w:val="22"/>
          <w:szCs w:val="22"/>
        </w:rPr>
        <w:t xml:space="preserve">Article 9 — Durée et résiliation</w:t>
      </w:r>
    </w:p>
    <w:p>
      <w:pPr>
        <w:spacing w:after="100" w:line="280"/>
        <w:jc w:val="both"/>
      </w:pPr>
      <w:r>
        <w:rPr>
          <w:rFonts w:ascii="Calibri" w:cs="Calibri" w:eastAsia="Calibri" w:hAnsi="Calibri"/>
          <w:color w:val="1A1A1A"/>
          <w:sz w:val="20"/>
          <w:szCs w:val="20"/>
        </w:rPr>
        <w:t xml:space="preserve">Le présent contrat est conclu pour une durée d'un (1) an à compter de sa signature, renouvelable tacitement par périodes d'un an. Chaque partie peut le résilier à tout moment, sans motif, moyennant un préavis écrit de trente (30) jours, sans préjudice des voyages déjà programmés qui doivent être menés à terme. La résiliation pour faute (manquement grave caractérisé) prend effet immédiatement après mise en demeure restée sans effet quinze (15) jours.</w:t>
      </w:r>
    </w:p>
    <w:p>
      <w:pPr>
        <w:spacing w:after="100" w:before="220"/>
      </w:pPr>
      <w:r>
        <w:rPr>
          <w:rFonts w:ascii="Calibri" w:cs="Calibri" w:eastAsia="Calibri" w:hAnsi="Calibri"/>
          <w:b/>
          <w:bCs/>
          <w:color w:val="E87722"/>
          <w:sz w:val="22"/>
          <w:szCs w:val="22"/>
        </w:rPr>
        <w:t xml:space="preserve">Article 10 — Loi applicable et juridiction</w:t>
      </w:r>
    </w:p>
    <w:p>
      <w:pPr>
        <w:spacing w:after="100" w:line="280"/>
        <w:jc w:val="both"/>
      </w:pPr>
      <w:r>
        <w:rPr>
          <w:rFonts w:ascii="Calibri" w:cs="Calibri" w:eastAsia="Calibri" w:hAnsi="Calibri"/>
          <w:color w:val="1A1A1A"/>
          <w:sz w:val="20"/>
          <w:szCs w:val="20"/>
        </w:rPr>
        <w:t xml:space="preserve">Le présent contrat est soumis au droit français. Tout litige relatif à son interprétation ou à son exécution sera soumis, à défaut d'accord amiable, aux tribunaux compétents du ressort du siège social d'EVENTY.</w:t>
      </w:r>
    </w:p>
    <w:p>
      <w:pPr>
        <w:spacing w:after="140"/>
      </w:pPr>
      <w:r>
        <w:t xml:space="preserve"/>
      </w:r>
    </w:p>
    <w:p>
      <w:pPr>
        <w:spacing w:after="200" w:line="280"/>
        <w:jc w:val="both"/>
      </w:pPr>
      <w:r>
        <w:rPr>
          <w:rFonts w:ascii="Calibri" w:cs="Calibri" w:eastAsia="Calibri" w:hAnsi="Calibri"/>
          <w:i/>
          <w:iCs/>
          <w:color w:val="1A1A1A"/>
          <w:sz w:val="20"/>
          <w:szCs w:val="20"/>
        </w:rPr>
        <w:t xml:space="preserve">Fait à [Ville], le [Date], en deux exemplaires originaux dont un pour chaque partie.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36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 + date + cachet)</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Le PARTENAIRE HRA</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mention « Lu et approuvé »)</w:t>
            </w:r>
          </w:p>
        </w:tc>
      </w:tr>
    </w:tbl>
    <w:p>
      <w:pPr>
        <w:spacing w:after="180"/>
      </w:pPr>
      <w:r>
        <w:t xml:space="preserve"/>
      </w:r>
    </w:p>
    <w:p>
      <w:pPr>
        <w:spacing w:after="100" w:line="280"/>
        <w:jc w:val="both"/>
      </w:pPr>
      <w:r>
        <w:rPr>
          <w:rFonts w:ascii="Calibri" w:cs="Calibri" w:eastAsia="Calibri" w:hAnsi="Calibri"/>
          <w:b/>
          <w:bCs/>
          <w:color w:val="1A1A1A"/>
          <w:sz w:val="20"/>
          <w:szCs w:val="20"/>
        </w:rPr>
        <w:t xml:space="preserve">Annexes au présent contrat (à joindre au moment de la signature) :</w:t>
      </w:r>
    </w:p>
    <w:p>
      <w:pPr>
        <w:pStyle w:val="ListParagraph"/>
        <w:numPr>
          <w:ilvl w:val="0"/>
          <w:numId w:val="2"/>
        </w:numPr>
        <w:spacing w:after="60" w:line="260"/>
      </w:pPr>
      <w:r>
        <w:rPr>
          <w:rFonts w:ascii="Calibri" w:cs="Calibri" w:eastAsia="Calibri" w:hAnsi="Calibri"/>
          <w:sz w:val="20"/>
          <w:szCs w:val="20"/>
        </w:rPr>
        <w:t xml:space="preserve">Annexe 1 — Justificatif d'immatriculation du HRA (Kbis ou équivalent local de moins de 3 mois)</w:t>
      </w:r>
    </w:p>
    <w:p>
      <w:pPr>
        <w:pStyle w:val="ListParagraph"/>
        <w:numPr>
          <w:ilvl w:val="0"/>
          <w:numId w:val="2"/>
        </w:numPr>
        <w:spacing w:after="60" w:line="260"/>
      </w:pPr>
      <w:r>
        <w:rPr>
          <w:rFonts w:ascii="Calibri" w:cs="Calibri" w:eastAsia="Calibri" w:hAnsi="Calibri"/>
          <w:sz w:val="20"/>
          <w:szCs w:val="20"/>
        </w:rPr>
        <w:t xml:space="preserve">Annexe 2 — Attestation URSSAF (ou équivalent local) à jour</w:t>
      </w:r>
    </w:p>
    <w:p>
      <w:pPr>
        <w:pStyle w:val="ListParagraph"/>
        <w:numPr>
          <w:ilvl w:val="0"/>
          <w:numId w:val="2"/>
        </w:numPr>
        <w:spacing w:after="60" w:line="260"/>
      </w:pPr>
      <w:r>
        <w:rPr>
          <w:rFonts w:ascii="Calibri" w:cs="Calibri" w:eastAsia="Calibri" w:hAnsi="Calibri"/>
          <w:sz w:val="20"/>
          <w:szCs w:val="20"/>
        </w:rPr>
        <w:t xml:space="preserve">Annexe 3 — Attestation d'assurance RC Pro du HRA</w:t>
      </w:r>
    </w:p>
    <w:p>
      <w:pPr>
        <w:pStyle w:val="ListParagraph"/>
        <w:numPr>
          <w:ilvl w:val="0"/>
          <w:numId w:val="2"/>
        </w:numPr>
        <w:spacing w:after="60" w:line="260"/>
      </w:pPr>
      <w:r>
        <w:rPr>
          <w:rFonts w:ascii="Calibri" w:cs="Calibri" w:eastAsia="Calibri" w:hAnsi="Calibri"/>
          <w:sz w:val="20"/>
          <w:szCs w:val="20"/>
        </w:rPr>
        <w:t xml:space="preserve">Annexe 4 — Le cas échéant, attestation HACCP (restauration) ou classement officiel (hôtellerie)</w:t>
      </w:r>
    </w:p>
    <w:p>
      <w:pPr>
        <w:pStyle w:val="ListParagraph"/>
        <w:numPr>
          <w:ilvl w:val="0"/>
          <w:numId w:val="2"/>
        </w:numPr>
        <w:spacing w:after="60" w:line="260"/>
      </w:pPr>
      <w:r>
        <w:rPr>
          <w:rFonts w:ascii="Calibri" w:cs="Calibri" w:eastAsia="Calibri" w:hAnsi="Calibri"/>
          <w:sz w:val="20"/>
          <w:szCs w:val="20"/>
        </w:rPr>
        <w:t xml:space="preserve">Annexe 5 — RIB du compte bancaire professionnel du HRA</w:t>
      </w:r>
    </w:p>
    <w:p>
      <w:pPr>
        <w:pStyle w:val="ListParagraph"/>
        <w:numPr>
          <w:ilvl w:val="0"/>
          <w:numId w:val="2"/>
        </w:numPr>
        <w:spacing w:after="60" w:line="260"/>
      </w:pPr>
      <w:r>
        <w:rPr>
          <w:rFonts w:ascii="Calibri" w:cs="Calibri" w:eastAsia="Calibri" w:hAnsi="Calibri"/>
          <w:sz w:val="20"/>
          <w:szCs w:val="20"/>
        </w:rPr>
        <w:t xml:space="preserve">Annexe 6 — Régime spécifique d'annulation pour seuil minimum non atteint et force majeure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Contrat HRA Partenaire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Contrat HRA Partenaire</dc:title>
  <dc:creator>David Eventy — Eventy Life SAS</dc:creator>
  <dc:description>Contrat-cadre pour partenaire HRA (Hôtel · Restaurant · Activité).</dc:description>
  <cp:lastModifiedBy>Un-named</cp:lastModifiedBy>
  <cp:revision>1</cp:revision>
  <dcterms:created xsi:type="dcterms:W3CDTF">2026-04-30T06:08:16.661Z</dcterms:created>
  <dcterms:modified xsi:type="dcterms:W3CDTF">2026-04-30T06:08:16.661Z</dcterms:modified>
</cp:coreProperties>
</file>

<file path=docProps/custom.xml><?xml version="1.0" encoding="utf-8"?>
<Properties xmlns="http://schemas.openxmlformats.org/officeDocument/2006/custom-properties" xmlns:vt="http://schemas.openxmlformats.org/officeDocument/2006/docPropsVTypes"/>
</file>