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PLAN DE COMMUNICATION INTERNE EVENTY</w:t>
            </w:r>
          </w:p>
          <w:p>
            <w:pPr>
              <w:spacing w:after="0"/>
              <w:jc w:val="center"/>
            </w:pPr>
            <w:r>
              <w:rPr>
                <w:rFonts w:ascii="Calibri" w:cs="Calibri" w:eastAsia="Calibri" w:hAnsi="Calibri"/>
                <w:i/>
                <w:iCs/>
                <w:color w:val="1F4E79"/>
                <w:sz w:val="18"/>
                <w:szCs w:val="18"/>
              </w:rPr>
              <w:t xml:space="preserve">Référentiel des échanges équipe, partenaires et voyageurs</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Le présent plan formalise la stratégie de communication interne d'EVENTY LIFE SAS. Il couvre les échanges entre l'équipe, avec les partenaires (créateurs, vendeurs, ambassadeurs, HRA) et avec la communauté voyageurs. Il complète la Charte télétravail, le Manuel des opérations quotidiennes et la Stratégie réseaux sociaux (qui couvrent des aspects spécifiques).</w:t>
      </w:r>
    </w:p>
    <w:p>
      <w:pPr>
        <w:spacing w:after="100" w:line="280"/>
        <w:jc w:val="both"/>
      </w:pPr>
      <w:r>
        <w:rPr>
          <w:rFonts w:ascii="Calibri" w:cs="Calibri" w:eastAsia="Calibri" w:hAnsi="Calibri"/>
          <w:i/>
          <w:iCs/>
          <w:color w:val="1A1A1A"/>
          <w:sz w:val="20"/>
          <w:szCs w:val="20"/>
        </w:rPr>
        <w:t xml:space="preserve">Eventy croit en une communication transparente, fréquente et bidirectionnelle. Une équipe et un écosystème bien informés performent mieux et restent mobilisés. Notre approche : sobriété (pas de bruit inutile), régularité (rituels), bidirectionnalité (chacun peut s'exprimer).</w:t>
      </w:r>
    </w:p>
    <w:p>
      <w:pPr>
        <w:spacing w:after="160" w:before="240"/>
      </w:pPr>
      <w:r>
        <w:rPr>
          <w:rFonts w:ascii="Calibri" w:cs="Calibri" w:eastAsia="Calibri" w:hAnsi="Calibri"/>
          <w:b/>
          <w:bCs/>
          <w:color w:val="1F4E79"/>
          <w:sz w:val="32"/>
          <w:szCs w:val="32"/>
        </w:rPr>
        <w:t xml:space="preserve">1. Principes directeurs</w:t>
      </w:r>
    </w:p>
    <w:p>
      <w:pPr>
        <w:spacing w:after="100" w:before="220"/>
      </w:pPr>
      <w:r>
        <w:rPr>
          <w:rFonts w:ascii="Calibri" w:cs="Calibri" w:eastAsia="Calibri" w:hAnsi="Calibri"/>
          <w:b/>
          <w:bCs/>
          <w:color w:val="E87722"/>
          <w:sz w:val="22"/>
          <w:szCs w:val="22"/>
        </w:rPr>
        <w:t xml:space="preserve">1.1. Cinq principes</w:t>
      </w:r>
    </w:p>
    <w:p>
      <w:pPr>
        <w:pStyle w:val="ListParagraph"/>
        <w:numPr>
          <w:ilvl w:val="0"/>
          <w:numId w:val="2"/>
        </w:numPr>
        <w:spacing w:after="60" w:line="260"/>
      </w:pPr>
      <w:r>
        <w:rPr>
          <w:rFonts w:ascii="Calibri" w:cs="Calibri" w:eastAsia="Calibri" w:hAnsi="Calibri"/>
          <w:sz w:val="20"/>
          <w:szCs w:val="20"/>
        </w:rPr>
        <w:t xml:space="preserve">Transparence — partager autant que possible (sauf info confidentielle nécessaire).</w:t>
      </w:r>
    </w:p>
    <w:p>
      <w:pPr>
        <w:pStyle w:val="ListParagraph"/>
        <w:numPr>
          <w:ilvl w:val="0"/>
          <w:numId w:val="2"/>
        </w:numPr>
        <w:spacing w:after="60" w:line="260"/>
      </w:pPr>
      <w:r>
        <w:rPr>
          <w:rFonts w:ascii="Calibri" w:cs="Calibri" w:eastAsia="Calibri" w:hAnsi="Calibri"/>
          <w:sz w:val="20"/>
          <w:szCs w:val="20"/>
        </w:rPr>
        <w:t xml:space="preserve">Régularité — rituels prévisibles plutôt que communications anarchiques.</w:t>
      </w:r>
    </w:p>
    <w:p>
      <w:pPr>
        <w:pStyle w:val="ListParagraph"/>
        <w:numPr>
          <w:ilvl w:val="0"/>
          <w:numId w:val="2"/>
        </w:numPr>
        <w:spacing w:after="60" w:line="260"/>
      </w:pPr>
      <w:r>
        <w:rPr>
          <w:rFonts w:ascii="Calibri" w:cs="Calibri" w:eastAsia="Calibri" w:hAnsi="Calibri"/>
          <w:sz w:val="20"/>
          <w:szCs w:val="20"/>
        </w:rPr>
        <w:t xml:space="preserve">Bidirectionnalité — chacun peut s'exprimer et être entendu.</w:t>
      </w:r>
    </w:p>
    <w:p>
      <w:pPr>
        <w:pStyle w:val="ListParagraph"/>
        <w:numPr>
          <w:ilvl w:val="0"/>
          <w:numId w:val="2"/>
        </w:numPr>
        <w:spacing w:after="60" w:line="260"/>
      </w:pPr>
      <w:r>
        <w:rPr>
          <w:rFonts w:ascii="Calibri" w:cs="Calibri" w:eastAsia="Calibri" w:hAnsi="Calibri"/>
          <w:sz w:val="20"/>
          <w:szCs w:val="20"/>
        </w:rPr>
        <w:t xml:space="preserve">Sobriété — refus de la sur-communication anxiogène.</w:t>
      </w:r>
    </w:p>
    <w:p>
      <w:pPr>
        <w:pStyle w:val="ListParagraph"/>
        <w:numPr>
          <w:ilvl w:val="0"/>
          <w:numId w:val="2"/>
        </w:numPr>
        <w:spacing w:after="60" w:line="260"/>
      </w:pPr>
      <w:r>
        <w:rPr>
          <w:rFonts w:ascii="Calibri" w:cs="Calibri" w:eastAsia="Calibri" w:hAnsi="Calibri"/>
          <w:sz w:val="20"/>
          <w:szCs w:val="20"/>
        </w:rPr>
        <w:t xml:space="preserve">Bienveillance — refus du dénigrement et du bashing.</w:t>
      </w:r>
    </w:p>
    <w:p>
      <w:pPr>
        <w:spacing w:after="100" w:before="220"/>
      </w:pPr>
      <w:r>
        <w:rPr>
          <w:rFonts w:ascii="Calibri" w:cs="Calibri" w:eastAsia="Calibri" w:hAnsi="Calibri"/>
          <w:b/>
          <w:bCs/>
          <w:color w:val="E87722"/>
          <w:sz w:val="22"/>
          <w:szCs w:val="22"/>
        </w:rPr>
        <w:t xml:space="preserve">1.2. Refus structurés</w:t>
      </w:r>
    </w:p>
    <w:p>
      <w:pPr>
        <w:pStyle w:val="ListParagraph"/>
        <w:numPr>
          <w:ilvl w:val="0"/>
          <w:numId w:val="2"/>
        </w:numPr>
        <w:spacing w:after="60" w:line="260"/>
      </w:pPr>
      <w:r>
        <w:rPr>
          <w:rFonts w:ascii="Calibri" w:cs="Calibri" w:eastAsia="Calibri" w:hAnsi="Calibri"/>
          <w:sz w:val="20"/>
          <w:szCs w:val="20"/>
        </w:rPr>
        <w:t xml:space="preserve">Refus du flicage permanent (pas de notifications anxiogènes).</w:t>
      </w:r>
    </w:p>
    <w:p>
      <w:pPr>
        <w:pStyle w:val="ListParagraph"/>
        <w:numPr>
          <w:ilvl w:val="0"/>
          <w:numId w:val="2"/>
        </w:numPr>
        <w:spacing w:after="60" w:line="260"/>
      </w:pPr>
      <w:r>
        <w:rPr>
          <w:rFonts w:ascii="Calibri" w:cs="Calibri" w:eastAsia="Calibri" w:hAnsi="Calibri"/>
          <w:sz w:val="20"/>
          <w:szCs w:val="20"/>
        </w:rPr>
        <w:t xml:space="preserve">Refus des chaînes mail interminables (préférer les outils dédiés).</w:t>
      </w:r>
    </w:p>
    <w:p>
      <w:pPr>
        <w:pStyle w:val="ListParagraph"/>
        <w:numPr>
          <w:ilvl w:val="0"/>
          <w:numId w:val="2"/>
        </w:numPr>
        <w:spacing w:after="60" w:line="260"/>
      </w:pPr>
      <w:r>
        <w:rPr>
          <w:rFonts w:ascii="Calibri" w:cs="Calibri" w:eastAsia="Calibri" w:hAnsi="Calibri"/>
          <w:sz w:val="20"/>
          <w:szCs w:val="20"/>
        </w:rPr>
        <w:t xml:space="preserve">Refus de la communication descendante uniquement.</w:t>
      </w:r>
    </w:p>
    <w:p>
      <w:pPr>
        <w:pStyle w:val="ListParagraph"/>
        <w:numPr>
          <w:ilvl w:val="0"/>
          <w:numId w:val="2"/>
        </w:numPr>
        <w:spacing w:after="60" w:line="260"/>
      </w:pPr>
      <w:r>
        <w:rPr>
          <w:rFonts w:ascii="Calibri" w:cs="Calibri" w:eastAsia="Calibri" w:hAnsi="Calibri"/>
          <w:sz w:val="20"/>
          <w:szCs w:val="20"/>
        </w:rPr>
        <w:t xml:space="preserve">Refus des réunions sans ordre du jour.</w:t>
      </w:r>
    </w:p>
    <w:p>
      <w:pPr>
        <w:pStyle w:val="ListParagraph"/>
        <w:numPr>
          <w:ilvl w:val="0"/>
          <w:numId w:val="2"/>
        </w:numPr>
        <w:spacing w:after="60" w:line="260"/>
      </w:pPr>
      <w:r>
        <w:rPr>
          <w:rFonts w:ascii="Calibri" w:cs="Calibri" w:eastAsia="Calibri" w:hAnsi="Calibri"/>
          <w:sz w:val="20"/>
          <w:szCs w:val="20"/>
        </w:rPr>
        <w:t xml:space="preserve">Refus de la dictature de l'urgence (sauf vraies urgences).</w:t>
      </w:r>
    </w:p>
    <w:p>
      <w:pPr>
        <w:spacing w:after="160" w:before="240"/>
      </w:pPr>
      <w:r>
        <w:rPr>
          <w:rFonts w:ascii="Calibri" w:cs="Calibri" w:eastAsia="Calibri" w:hAnsi="Calibri"/>
          <w:b/>
          <w:bCs/>
          <w:color w:val="1F4E79"/>
          <w:sz w:val="32"/>
          <w:szCs w:val="32"/>
        </w:rPr>
        <w:t xml:space="preserve">2. Communication équipe interne</w:t>
      </w:r>
    </w:p>
    <w:p>
      <w:pPr>
        <w:spacing w:after="100" w:before="220"/>
      </w:pPr>
      <w:r>
        <w:rPr>
          <w:rFonts w:ascii="Calibri" w:cs="Calibri" w:eastAsia="Calibri" w:hAnsi="Calibri"/>
          <w:b/>
          <w:bCs/>
          <w:color w:val="E87722"/>
          <w:sz w:val="22"/>
          <w:szCs w:val="22"/>
        </w:rPr>
        <w:t xml:space="preserve">2.1. Rituels hebdomadaires (cohérence Charte télétravail)</w:t>
      </w:r>
    </w:p>
    <w:p>
      <w:pPr>
        <w:pStyle w:val="ListParagraph"/>
        <w:numPr>
          <w:ilvl w:val="0"/>
          <w:numId w:val="2"/>
        </w:numPr>
        <w:spacing w:after="60" w:line="260"/>
      </w:pPr>
      <w:r>
        <w:rPr>
          <w:rFonts w:ascii="Calibri" w:cs="Calibri" w:eastAsia="Calibri" w:hAnsi="Calibri"/>
          <w:sz w:val="20"/>
          <w:szCs w:val="20"/>
        </w:rPr>
        <w:t xml:space="preserve">Standup matinal lundi 9h30 (15 min) — focus de la semaine.</w:t>
      </w:r>
    </w:p>
    <w:p>
      <w:pPr>
        <w:pStyle w:val="ListParagraph"/>
        <w:numPr>
          <w:ilvl w:val="0"/>
          <w:numId w:val="2"/>
        </w:numPr>
        <w:spacing w:after="60" w:line="260"/>
      </w:pPr>
      <w:r>
        <w:rPr>
          <w:rFonts w:ascii="Calibri" w:cs="Calibri" w:eastAsia="Calibri" w:hAnsi="Calibri"/>
          <w:sz w:val="20"/>
          <w:szCs w:val="20"/>
        </w:rPr>
        <w:t xml:space="preserve">Mardi de l'équipe (toute la journée en présentiel) — sujets transverses.</w:t>
      </w:r>
    </w:p>
    <w:p>
      <w:pPr>
        <w:pStyle w:val="ListParagraph"/>
        <w:numPr>
          <w:ilvl w:val="0"/>
          <w:numId w:val="2"/>
        </w:numPr>
        <w:spacing w:after="60" w:line="260"/>
      </w:pPr>
      <w:r>
        <w:rPr>
          <w:rFonts w:ascii="Calibri" w:cs="Calibri" w:eastAsia="Calibri" w:hAnsi="Calibri"/>
          <w:sz w:val="20"/>
          <w:szCs w:val="20"/>
        </w:rPr>
        <w:t xml:space="preserve">Démo produit vendredi 16h (30 min) — ce qui a été livré.</w:t>
      </w:r>
    </w:p>
    <w:p>
      <w:pPr>
        <w:pStyle w:val="ListParagraph"/>
        <w:numPr>
          <w:ilvl w:val="0"/>
          <w:numId w:val="2"/>
        </w:numPr>
        <w:spacing w:after="60" w:line="260"/>
      </w:pPr>
      <w:r>
        <w:rPr>
          <w:rFonts w:ascii="Calibri" w:cs="Calibri" w:eastAsia="Calibri" w:hAnsi="Calibri"/>
          <w:sz w:val="20"/>
          <w:szCs w:val="20"/>
        </w:rPr>
        <w:t xml:space="preserve">Café du jeudi 14h (45 min) — sujets libres, lectures partagées.</w:t>
      </w:r>
    </w:p>
    <w:p>
      <w:pPr>
        <w:spacing w:after="100" w:before="220"/>
      </w:pPr>
      <w:r>
        <w:rPr>
          <w:rFonts w:ascii="Calibri" w:cs="Calibri" w:eastAsia="Calibri" w:hAnsi="Calibri"/>
          <w:b/>
          <w:bCs/>
          <w:color w:val="E87722"/>
          <w:sz w:val="22"/>
          <w:szCs w:val="22"/>
        </w:rPr>
        <w:t xml:space="preserve">2.2. Rituels mensuels</w:t>
      </w:r>
    </w:p>
    <w:p>
      <w:pPr>
        <w:pStyle w:val="ListParagraph"/>
        <w:numPr>
          <w:ilvl w:val="0"/>
          <w:numId w:val="2"/>
        </w:numPr>
        <w:spacing w:after="60" w:line="260"/>
      </w:pPr>
      <w:r>
        <w:rPr>
          <w:rFonts w:ascii="Calibri" w:cs="Calibri" w:eastAsia="Calibri" w:hAnsi="Calibri"/>
          <w:sz w:val="20"/>
          <w:szCs w:val="20"/>
        </w:rPr>
        <w:t xml:space="preserve">All-hands mensuel (60 min) — chiffres, priorités, retours voyageurs marquants.</w:t>
      </w:r>
    </w:p>
    <w:p>
      <w:pPr>
        <w:pStyle w:val="ListParagraph"/>
        <w:numPr>
          <w:ilvl w:val="0"/>
          <w:numId w:val="2"/>
        </w:numPr>
        <w:spacing w:after="60" w:line="260"/>
      </w:pPr>
      <w:r>
        <w:rPr>
          <w:rFonts w:ascii="Calibri" w:cs="Calibri" w:eastAsia="Calibri" w:hAnsi="Calibri"/>
          <w:sz w:val="20"/>
          <w:szCs w:val="20"/>
        </w:rPr>
        <w:t xml:space="preserve">Revue stratégique mensuelle (90 min) — restreint aux managers.</w:t>
      </w:r>
    </w:p>
    <w:p>
      <w:pPr>
        <w:pStyle w:val="ListParagraph"/>
        <w:numPr>
          <w:ilvl w:val="0"/>
          <w:numId w:val="2"/>
        </w:numPr>
        <w:spacing w:after="60" w:line="260"/>
      </w:pPr>
      <w:r>
        <w:rPr>
          <w:rFonts w:ascii="Calibri" w:cs="Calibri" w:eastAsia="Calibri" w:hAnsi="Calibri"/>
          <w:sz w:val="20"/>
          <w:szCs w:val="20"/>
        </w:rPr>
        <w:t xml:space="preserve">Newsletter interne mensuelle — résumé écrit pour ceux qui auraient manqué.</w:t>
      </w:r>
    </w:p>
    <w:p>
      <w:pPr>
        <w:spacing w:after="100" w:before="220"/>
      </w:pPr>
      <w:r>
        <w:rPr>
          <w:rFonts w:ascii="Calibri" w:cs="Calibri" w:eastAsia="Calibri" w:hAnsi="Calibri"/>
          <w:b/>
          <w:bCs/>
          <w:color w:val="E87722"/>
          <w:sz w:val="22"/>
          <w:szCs w:val="22"/>
        </w:rPr>
        <w:t xml:space="preserve">2.3. Rituels trimestriels</w:t>
      </w:r>
    </w:p>
    <w:p>
      <w:pPr>
        <w:pStyle w:val="ListParagraph"/>
        <w:numPr>
          <w:ilvl w:val="0"/>
          <w:numId w:val="2"/>
        </w:numPr>
        <w:spacing w:after="60" w:line="260"/>
      </w:pPr>
      <w:r>
        <w:rPr>
          <w:rFonts w:ascii="Calibri" w:cs="Calibri" w:eastAsia="Calibri" w:hAnsi="Calibri"/>
          <w:sz w:val="20"/>
          <w:szCs w:val="20"/>
        </w:rPr>
        <w:t xml:space="preserve">Séminaire trimestriel (1-2 j hors locaux) — alignement stratégique.</w:t>
      </w:r>
    </w:p>
    <w:p>
      <w:pPr>
        <w:pStyle w:val="ListParagraph"/>
        <w:numPr>
          <w:ilvl w:val="0"/>
          <w:numId w:val="2"/>
        </w:numPr>
        <w:spacing w:after="60" w:line="260"/>
      </w:pPr>
      <w:r>
        <w:rPr>
          <w:rFonts w:ascii="Calibri" w:cs="Calibri" w:eastAsia="Calibri" w:hAnsi="Calibri"/>
          <w:sz w:val="20"/>
          <w:szCs w:val="20"/>
        </w:rPr>
        <w:t xml:space="preserve">Bilan trimestriel formalisé — équipe et investisseurs.</w:t>
      </w:r>
    </w:p>
    <w:p>
      <w:pPr>
        <w:pStyle w:val="ListParagraph"/>
        <w:numPr>
          <w:ilvl w:val="0"/>
          <w:numId w:val="2"/>
        </w:numPr>
        <w:spacing w:after="60" w:line="260"/>
      </w:pPr>
      <w:r>
        <w:rPr>
          <w:rFonts w:ascii="Calibri" w:cs="Calibri" w:eastAsia="Calibri" w:hAnsi="Calibri"/>
          <w:sz w:val="20"/>
          <w:szCs w:val="20"/>
        </w:rPr>
        <w:t xml:space="preserve">Sondage interne anonyme (20 questions, 10 min) — climat, propositions.</w:t>
      </w:r>
    </w:p>
    <w:p>
      <w:pPr>
        <w:spacing w:after="100" w:before="220"/>
      </w:pPr>
      <w:r>
        <w:rPr>
          <w:rFonts w:ascii="Calibri" w:cs="Calibri" w:eastAsia="Calibri" w:hAnsi="Calibri"/>
          <w:b/>
          <w:bCs/>
          <w:color w:val="E87722"/>
          <w:sz w:val="22"/>
          <w:szCs w:val="22"/>
        </w:rPr>
        <w:t xml:space="preserve">2.4. Rituels annuels</w:t>
      </w:r>
    </w:p>
    <w:p>
      <w:pPr>
        <w:pStyle w:val="ListParagraph"/>
        <w:numPr>
          <w:ilvl w:val="0"/>
          <w:numId w:val="2"/>
        </w:numPr>
        <w:spacing w:after="60" w:line="260"/>
      </w:pPr>
      <w:r>
        <w:rPr>
          <w:rFonts w:ascii="Calibri" w:cs="Calibri" w:eastAsia="Calibri" w:hAnsi="Calibri"/>
          <w:sz w:val="20"/>
          <w:szCs w:val="20"/>
        </w:rPr>
        <w:t xml:space="preserve">Entretien annuel par collaborateur (cohérence Modèle d'entretien annuel).</w:t>
      </w:r>
    </w:p>
    <w:p>
      <w:pPr>
        <w:pStyle w:val="ListParagraph"/>
        <w:numPr>
          <w:ilvl w:val="0"/>
          <w:numId w:val="2"/>
        </w:numPr>
        <w:spacing w:after="60" w:line="260"/>
      </w:pPr>
      <w:r>
        <w:rPr>
          <w:rFonts w:ascii="Calibri" w:cs="Calibri" w:eastAsia="Calibri" w:hAnsi="Calibri"/>
          <w:sz w:val="20"/>
          <w:szCs w:val="20"/>
        </w:rPr>
        <w:t xml:space="preserve">Bilan annuel équipe (cohérence Rapport de gestion annuel).</w:t>
      </w:r>
    </w:p>
    <w:p>
      <w:pPr>
        <w:pStyle w:val="ListParagraph"/>
        <w:numPr>
          <w:ilvl w:val="0"/>
          <w:numId w:val="2"/>
        </w:numPr>
        <w:spacing w:after="60" w:line="260"/>
      </w:pPr>
      <w:r>
        <w:rPr>
          <w:rFonts w:ascii="Calibri" w:cs="Calibri" w:eastAsia="Calibri" w:hAnsi="Calibri"/>
          <w:sz w:val="20"/>
          <w:szCs w:val="20"/>
        </w:rPr>
        <w:t xml:space="preserve">Anniversaire Eventy (juin, événement signature, cohérence Plan d'événements).</w:t>
      </w:r>
    </w:p>
    <w:p>
      <w:pPr>
        <w:spacing w:after="100" w:before="220"/>
      </w:pPr>
      <w:r>
        <w:rPr>
          <w:rFonts w:ascii="Calibri" w:cs="Calibri" w:eastAsia="Calibri" w:hAnsi="Calibri"/>
          <w:b/>
          <w:bCs/>
          <w:color w:val="E87722"/>
          <w:sz w:val="22"/>
          <w:szCs w:val="22"/>
        </w:rPr>
        <w:t xml:space="preserve">2.5. Outils internes</w:t>
      </w:r>
    </w:p>
    <w:p>
      <w:pPr>
        <w:pStyle w:val="ListParagraph"/>
        <w:numPr>
          <w:ilvl w:val="0"/>
          <w:numId w:val="2"/>
        </w:numPr>
        <w:spacing w:after="60" w:line="260"/>
      </w:pPr>
      <w:r>
        <w:rPr>
          <w:rFonts w:ascii="Calibri" w:cs="Calibri" w:eastAsia="Calibri" w:hAnsi="Calibri"/>
          <w:sz w:val="20"/>
          <w:szCs w:val="20"/>
        </w:rPr>
        <w:t xml:space="preserve">Slack / équivalent (souverain) — communication asynchrone quotidienne.</w:t>
      </w:r>
    </w:p>
    <w:p>
      <w:pPr>
        <w:pStyle w:val="ListParagraph"/>
        <w:numPr>
          <w:ilvl w:val="0"/>
          <w:numId w:val="2"/>
        </w:numPr>
        <w:spacing w:after="60" w:line="260"/>
      </w:pPr>
      <w:r>
        <w:rPr>
          <w:rFonts w:ascii="Calibri" w:cs="Calibri" w:eastAsia="Calibri" w:hAnsi="Calibri"/>
          <w:sz w:val="20"/>
          <w:szCs w:val="20"/>
        </w:rPr>
        <w:t xml:space="preserve">Google Workspace (email, agenda, documents partagés).</w:t>
      </w:r>
    </w:p>
    <w:p>
      <w:pPr>
        <w:pStyle w:val="ListParagraph"/>
        <w:numPr>
          <w:ilvl w:val="0"/>
          <w:numId w:val="2"/>
        </w:numPr>
        <w:spacing w:after="60" w:line="260"/>
      </w:pPr>
      <w:r>
        <w:rPr>
          <w:rFonts w:ascii="Calibri" w:cs="Calibri" w:eastAsia="Calibri" w:hAnsi="Calibri"/>
          <w:sz w:val="20"/>
          <w:szCs w:val="20"/>
        </w:rPr>
        <w:t xml:space="preserve">Notion ou Confluence — documentation et procédures.</w:t>
      </w:r>
    </w:p>
    <w:p>
      <w:pPr>
        <w:pStyle w:val="ListParagraph"/>
        <w:numPr>
          <w:ilvl w:val="0"/>
          <w:numId w:val="2"/>
        </w:numPr>
        <w:spacing w:after="60" w:line="260"/>
      </w:pPr>
      <w:r>
        <w:rPr>
          <w:rFonts w:ascii="Calibri" w:cs="Calibri" w:eastAsia="Calibri" w:hAnsi="Calibri"/>
          <w:sz w:val="20"/>
          <w:szCs w:val="20"/>
        </w:rPr>
        <w:t xml:space="preserve">Visioconférence (Google Meet, Zoom) — réunions à distance.</w:t>
      </w:r>
    </w:p>
    <w:p>
      <w:pPr>
        <w:pStyle w:val="ListParagraph"/>
        <w:numPr>
          <w:ilvl w:val="0"/>
          <w:numId w:val="2"/>
        </w:numPr>
        <w:spacing w:after="60" w:line="260"/>
      </w:pPr>
      <w:r>
        <w:rPr>
          <w:rFonts w:ascii="Calibri" w:cs="Calibri" w:eastAsia="Calibri" w:hAnsi="Calibri"/>
          <w:sz w:val="20"/>
          <w:szCs w:val="20"/>
        </w:rPr>
        <w:t xml:space="preserve">Refus du multi-outils anxiogène — sobriété, pas plus de 5 outils principaux.</w:t>
      </w:r>
    </w:p>
    <w:p>
      <w:pPr>
        <w:spacing w:after="160" w:before="240"/>
      </w:pPr>
      <w:r>
        <w:rPr>
          <w:rFonts w:ascii="Calibri" w:cs="Calibri" w:eastAsia="Calibri" w:hAnsi="Calibri"/>
          <w:b/>
          <w:bCs/>
          <w:color w:val="1F4E79"/>
          <w:sz w:val="32"/>
          <w:szCs w:val="32"/>
        </w:rPr>
        <w:t xml:space="preserve">3. Communication avec les partenaires</w:t>
      </w:r>
    </w:p>
    <w:p>
      <w:pPr>
        <w:spacing w:after="100" w:before="220"/>
      </w:pPr>
      <w:r>
        <w:rPr>
          <w:rFonts w:ascii="Calibri" w:cs="Calibri" w:eastAsia="Calibri" w:hAnsi="Calibri"/>
          <w:b/>
          <w:bCs/>
          <w:color w:val="E87722"/>
          <w:sz w:val="22"/>
          <w:szCs w:val="22"/>
        </w:rPr>
        <w:t xml:space="preserve">3.1. Créateurs</w:t>
      </w:r>
    </w:p>
    <w:p>
      <w:pPr>
        <w:pStyle w:val="ListParagraph"/>
        <w:numPr>
          <w:ilvl w:val="0"/>
          <w:numId w:val="2"/>
        </w:numPr>
        <w:spacing w:after="60" w:line="260"/>
      </w:pPr>
      <w:r>
        <w:rPr>
          <w:rFonts w:ascii="Calibri" w:cs="Calibri" w:eastAsia="Calibri" w:hAnsi="Calibri"/>
          <w:sz w:val="20"/>
          <w:szCs w:val="20"/>
        </w:rPr>
        <w:t xml:space="preserve">Webinaire trimestriel (90 min) — performance + nouveautés.</w:t>
      </w:r>
    </w:p>
    <w:p>
      <w:pPr>
        <w:pStyle w:val="ListParagraph"/>
        <w:numPr>
          <w:ilvl w:val="0"/>
          <w:numId w:val="2"/>
        </w:numPr>
        <w:spacing w:after="60" w:line="260"/>
      </w:pPr>
      <w:r>
        <w:rPr>
          <w:rFonts w:ascii="Calibri" w:cs="Calibri" w:eastAsia="Calibri" w:hAnsi="Calibri"/>
          <w:sz w:val="20"/>
          <w:szCs w:val="20"/>
        </w:rPr>
        <w:t xml:space="preserve">Newsletter mensuelle dédiée.</w:t>
      </w:r>
    </w:p>
    <w:p>
      <w:pPr>
        <w:pStyle w:val="ListParagraph"/>
        <w:numPr>
          <w:ilvl w:val="0"/>
          <w:numId w:val="2"/>
        </w:numPr>
        <w:spacing w:after="60" w:line="260"/>
      </w:pPr>
      <w:r>
        <w:rPr>
          <w:rFonts w:ascii="Calibri" w:cs="Calibri" w:eastAsia="Calibri" w:hAnsi="Calibri"/>
          <w:sz w:val="20"/>
          <w:szCs w:val="20"/>
        </w:rPr>
        <w:t xml:space="preserve">Forum interne (lecture, échanges).</w:t>
      </w:r>
    </w:p>
    <w:p>
      <w:pPr>
        <w:pStyle w:val="ListParagraph"/>
        <w:numPr>
          <w:ilvl w:val="0"/>
          <w:numId w:val="2"/>
        </w:numPr>
        <w:spacing w:after="60" w:line="260"/>
      </w:pPr>
      <w:r>
        <w:rPr>
          <w:rFonts w:ascii="Calibri" w:cs="Calibri" w:eastAsia="Calibri" w:hAnsi="Calibri"/>
          <w:sz w:val="20"/>
          <w:szCs w:val="20"/>
        </w:rPr>
        <w:t xml:space="preserve">Réunion annuelle créateurs (visio ou présentiel).</w:t>
      </w:r>
    </w:p>
    <w:p>
      <w:pPr>
        <w:pStyle w:val="ListParagraph"/>
        <w:numPr>
          <w:ilvl w:val="0"/>
          <w:numId w:val="2"/>
        </w:numPr>
        <w:spacing w:after="60" w:line="260"/>
      </w:pPr>
      <w:r>
        <w:rPr>
          <w:rFonts w:ascii="Calibri" w:cs="Calibri" w:eastAsia="Calibri" w:hAnsi="Calibri"/>
          <w:sz w:val="20"/>
          <w:szCs w:val="20"/>
        </w:rPr>
        <w:t xml:space="preserve">Email dédié : createur@eventylife.fr (cohérence Guide portail créateur).</w:t>
      </w:r>
    </w:p>
    <w:p>
      <w:pPr>
        <w:spacing w:after="100" w:before="220"/>
      </w:pPr>
      <w:r>
        <w:rPr>
          <w:rFonts w:ascii="Calibri" w:cs="Calibri" w:eastAsia="Calibri" w:hAnsi="Calibri"/>
          <w:b/>
          <w:bCs/>
          <w:color w:val="E87722"/>
          <w:sz w:val="22"/>
          <w:szCs w:val="22"/>
        </w:rPr>
        <w:t xml:space="preserve">3.2. Vendeurs</w:t>
      </w:r>
    </w:p>
    <w:p>
      <w:pPr>
        <w:pStyle w:val="ListParagraph"/>
        <w:numPr>
          <w:ilvl w:val="0"/>
          <w:numId w:val="2"/>
        </w:numPr>
        <w:spacing w:after="60" w:line="260"/>
      </w:pPr>
      <w:r>
        <w:rPr>
          <w:rFonts w:ascii="Calibri" w:cs="Calibri" w:eastAsia="Calibri" w:hAnsi="Calibri"/>
          <w:sz w:val="20"/>
          <w:szCs w:val="20"/>
        </w:rPr>
        <w:t xml:space="preserve">Webinaire trimestriel (60 min) — performance + nouveautés voyages.</w:t>
      </w:r>
    </w:p>
    <w:p>
      <w:pPr>
        <w:pStyle w:val="ListParagraph"/>
        <w:numPr>
          <w:ilvl w:val="0"/>
          <w:numId w:val="2"/>
        </w:numPr>
        <w:spacing w:after="60" w:line="260"/>
      </w:pPr>
      <w:r>
        <w:rPr>
          <w:rFonts w:ascii="Calibri" w:cs="Calibri" w:eastAsia="Calibri" w:hAnsi="Calibri"/>
          <w:sz w:val="20"/>
          <w:szCs w:val="20"/>
        </w:rPr>
        <w:t xml:space="preserve">Newsletter mensuelle vendeurs.</w:t>
      </w:r>
    </w:p>
    <w:p>
      <w:pPr>
        <w:pStyle w:val="ListParagraph"/>
        <w:numPr>
          <w:ilvl w:val="0"/>
          <w:numId w:val="2"/>
        </w:numPr>
        <w:spacing w:after="60" w:line="260"/>
      </w:pPr>
      <w:r>
        <w:rPr>
          <w:rFonts w:ascii="Calibri" w:cs="Calibri" w:eastAsia="Calibri" w:hAnsi="Calibri"/>
          <w:sz w:val="20"/>
          <w:szCs w:val="20"/>
        </w:rPr>
        <w:t xml:space="preserve">Forum interne (entraide).</w:t>
      </w:r>
    </w:p>
    <w:p>
      <w:pPr>
        <w:pStyle w:val="ListParagraph"/>
        <w:numPr>
          <w:ilvl w:val="0"/>
          <w:numId w:val="2"/>
        </w:numPr>
        <w:spacing w:after="60" w:line="260"/>
      </w:pPr>
      <w:r>
        <w:rPr>
          <w:rFonts w:ascii="Calibri" w:cs="Calibri" w:eastAsia="Calibri" w:hAnsi="Calibri"/>
          <w:sz w:val="20"/>
          <w:szCs w:val="20"/>
        </w:rPr>
        <w:t xml:space="preserve">Email dédié : vendeur@eventylife.fr (cohérence Guide portail vendeur).</w:t>
      </w:r>
    </w:p>
    <w:p>
      <w:pPr>
        <w:spacing w:after="100" w:before="220"/>
      </w:pPr>
      <w:r>
        <w:rPr>
          <w:rFonts w:ascii="Calibri" w:cs="Calibri" w:eastAsia="Calibri" w:hAnsi="Calibri"/>
          <w:b/>
          <w:bCs/>
          <w:color w:val="E87722"/>
          <w:sz w:val="22"/>
          <w:szCs w:val="22"/>
        </w:rPr>
        <w:t xml:space="preserve">3.3. HRA partenaires</w:t>
      </w:r>
    </w:p>
    <w:p>
      <w:pPr>
        <w:pStyle w:val="ListParagraph"/>
        <w:numPr>
          <w:ilvl w:val="0"/>
          <w:numId w:val="2"/>
        </w:numPr>
        <w:spacing w:after="60" w:line="260"/>
      </w:pPr>
      <w:r>
        <w:rPr>
          <w:rFonts w:ascii="Calibri" w:cs="Calibri" w:eastAsia="Calibri" w:hAnsi="Calibri"/>
          <w:sz w:val="20"/>
          <w:szCs w:val="20"/>
        </w:rPr>
        <w:t xml:space="preserve">Réunion annuelle HRA (présentiel ou visio).</w:t>
      </w:r>
    </w:p>
    <w:p>
      <w:pPr>
        <w:pStyle w:val="ListParagraph"/>
        <w:numPr>
          <w:ilvl w:val="0"/>
          <w:numId w:val="2"/>
        </w:numPr>
        <w:spacing w:after="60" w:line="260"/>
      </w:pPr>
      <w:r>
        <w:rPr>
          <w:rFonts w:ascii="Calibri" w:cs="Calibri" w:eastAsia="Calibri" w:hAnsi="Calibri"/>
          <w:sz w:val="20"/>
          <w:szCs w:val="20"/>
        </w:rPr>
        <w:t xml:space="preserve">Newsletter trimestrielle (5-10 min de lecture).</w:t>
      </w:r>
    </w:p>
    <w:p>
      <w:pPr>
        <w:pStyle w:val="ListParagraph"/>
        <w:numPr>
          <w:ilvl w:val="0"/>
          <w:numId w:val="2"/>
        </w:numPr>
        <w:spacing w:after="60" w:line="260"/>
      </w:pPr>
      <w:r>
        <w:rPr>
          <w:rFonts w:ascii="Calibri" w:cs="Calibri" w:eastAsia="Calibri" w:hAnsi="Calibri"/>
          <w:sz w:val="20"/>
          <w:szCs w:val="20"/>
        </w:rPr>
        <w:t xml:space="preserve">Forum HRA partenaires.</w:t>
      </w:r>
    </w:p>
    <w:p>
      <w:pPr>
        <w:pStyle w:val="ListParagraph"/>
        <w:numPr>
          <w:ilvl w:val="0"/>
          <w:numId w:val="2"/>
        </w:numPr>
        <w:spacing w:after="60" w:line="260"/>
      </w:pPr>
      <w:r>
        <w:rPr>
          <w:rFonts w:ascii="Calibri" w:cs="Calibri" w:eastAsia="Calibri" w:hAnsi="Calibri"/>
          <w:sz w:val="20"/>
          <w:szCs w:val="20"/>
        </w:rPr>
        <w:t xml:space="preserve">Email dédié : maisons@eventylife.fr (cohérence Guide portail HRA).</w:t>
      </w:r>
    </w:p>
    <w:p>
      <w:pPr>
        <w:spacing w:after="100" w:before="220"/>
      </w:pPr>
      <w:r>
        <w:rPr>
          <w:rFonts w:ascii="Calibri" w:cs="Calibri" w:eastAsia="Calibri" w:hAnsi="Calibri"/>
          <w:b/>
          <w:bCs/>
          <w:color w:val="E87722"/>
          <w:sz w:val="22"/>
          <w:szCs w:val="22"/>
        </w:rPr>
        <w:t xml:space="preserve">3.4. Ambassadeurs</w:t>
      </w:r>
    </w:p>
    <w:p>
      <w:pPr>
        <w:pStyle w:val="ListParagraph"/>
        <w:numPr>
          <w:ilvl w:val="0"/>
          <w:numId w:val="2"/>
        </w:numPr>
        <w:spacing w:after="60" w:line="260"/>
      </w:pPr>
      <w:r>
        <w:rPr>
          <w:rFonts w:ascii="Calibri" w:cs="Calibri" w:eastAsia="Calibri" w:hAnsi="Calibri"/>
          <w:sz w:val="20"/>
          <w:szCs w:val="20"/>
        </w:rPr>
        <w:t xml:space="preserve">Webinaire trimestriel (60 min) — nouveautés et bonnes pratiques.</w:t>
      </w:r>
    </w:p>
    <w:p>
      <w:pPr>
        <w:pStyle w:val="ListParagraph"/>
        <w:numPr>
          <w:ilvl w:val="0"/>
          <w:numId w:val="2"/>
        </w:numPr>
        <w:spacing w:after="60" w:line="260"/>
      </w:pPr>
      <w:r>
        <w:rPr>
          <w:rFonts w:ascii="Calibri" w:cs="Calibri" w:eastAsia="Calibri" w:hAnsi="Calibri"/>
          <w:sz w:val="20"/>
          <w:szCs w:val="20"/>
        </w:rPr>
        <w:t xml:space="preserve">Newsletter trimestrielle dédiée.</w:t>
      </w:r>
    </w:p>
    <w:p>
      <w:pPr>
        <w:pStyle w:val="ListParagraph"/>
        <w:numPr>
          <w:ilvl w:val="0"/>
          <w:numId w:val="2"/>
        </w:numPr>
        <w:spacing w:after="60" w:line="260"/>
      </w:pPr>
      <w:r>
        <w:rPr>
          <w:rFonts w:ascii="Calibri" w:cs="Calibri" w:eastAsia="Calibri" w:hAnsi="Calibri"/>
          <w:sz w:val="20"/>
          <w:szCs w:val="20"/>
        </w:rPr>
        <w:t xml:space="preserve">Email dédié : ambassadeur@eventylife.fr (cohérence Guide portail ambassadeur).</w:t>
      </w:r>
    </w:p>
    <w:p>
      <w:pPr>
        <w:spacing w:after="160" w:before="240"/>
      </w:pPr>
      <w:r>
        <w:rPr>
          <w:rFonts w:ascii="Calibri" w:cs="Calibri" w:eastAsia="Calibri" w:hAnsi="Calibri"/>
          <w:b/>
          <w:bCs/>
          <w:color w:val="1F4E79"/>
          <w:sz w:val="32"/>
          <w:szCs w:val="32"/>
        </w:rPr>
        <w:t xml:space="preserve">4. Communication avec les voyageurs</w:t>
      </w:r>
    </w:p>
    <w:p>
      <w:pPr>
        <w:spacing w:after="100" w:before="220"/>
      </w:pPr>
      <w:r>
        <w:rPr>
          <w:rFonts w:ascii="Calibri" w:cs="Calibri" w:eastAsia="Calibri" w:hAnsi="Calibri"/>
          <w:b/>
          <w:bCs/>
          <w:color w:val="E87722"/>
          <w:sz w:val="22"/>
          <w:szCs w:val="22"/>
        </w:rPr>
        <w:t xml:space="preserve">4.1. Communication transactionnelle</w:t>
      </w:r>
    </w:p>
    <w:p>
      <w:pPr>
        <w:pStyle w:val="ListParagraph"/>
        <w:numPr>
          <w:ilvl w:val="0"/>
          <w:numId w:val="2"/>
        </w:numPr>
        <w:spacing w:after="60" w:line="260"/>
      </w:pPr>
      <w:r>
        <w:rPr>
          <w:rFonts w:ascii="Calibri" w:cs="Calibri" w:eastAsia="Calibri" w:hAnsi="Calibri"/>
          <w:sz w:val="20"/>
          <w:szCs w:val="20"/>
        </w:rPr>
        <w:t xml:space="preserve">Confirmation réservation, documents J-30 / J-7, retour J+2 (cohérence Onboarding voyageur).</w:t>
      </w:r>
    </w:p>
    <w:p>
      <w:pPr>
        <w:pStyle w:val="ListParagraph"/>
        <w:numPr>
          <w:ilvl w:val="0"/>
          <w:numId w:val="2"/>
        </w:numPr>
        <w:spacing w:after="60" w:line="260"/>
      </w:pPr>
      <w:r>
        <w:rPr>
          <w:rFonts w:ascii="Calibri" w:cs="Calibri" w:eastAsia="Calibri" w:hAnsi="Calibri"/>
          <w:sz w:val="20"/>
          <w:szCs w:val="20"/>
        </w:rPr>
        <w:t xml:space="preserve">Cohérence avec CGV et Information précontractuelle.</w:t>
      </w:r>
    </w:p>
    <w:p>
      <w:pPr>
        <w:spacing w:after="100" w:before="220"/>
      </w:pPr>
      <w:r>
        <w:rPr>
          <w:rFonts w:ascii="Calibri" w:cs="Calibri" w:eastAsia="Calibri" w:hAnsi="Calibri"/>
          <w:b/>
          <w:bCs/>
          <w:color w:val="E87722"/>
          <w:sz w:val="22"/>
          <w:szCs w:val="22"/>
        </w:rPr>
        <w:t xml:space="preserve">4.2. Communication communautaire</w:t>
      </w:r>
    </w:p>
    <w:p>
      <w:pPr>
        <w:pStyle w:val="ListParagraph"/>
        <w:numPr>
          <w:ilvl w:val="0"/>
          <w:numId w:val="2"/>
        </w:numPr>
        <w:spacing w:after="60" w:line="260"/>
      </w:pPr>
      <w:r>
        <w:rPr>
          <w:rFonts w:ascii="Calibri" w:cs="Calibri" w:eastAsia="Calibri" w:hAnsi="Calibri"/>
          <w:sz w:val="20"/>
          <w:szCs w:val="20"/>
        </w:rPr>
        <w:t xml:space="preserve">Newsletter mensuelle « Le Mensuel Eventy » (cohérence Ligne éditoriale blog).</w:t>
      </w:r>
    </w:p>
    <w:p>
      <w:pPr>
        <w:pStyle w:val="ListParagraph"/>
        <w:numPr>
          <w:ilvl w:val="0"/>
          <w:numId w:val="2"/>
        </w:numPr>
        <w:spacing w:after="60" w:line="260"/>
      </w:pPr>
      <w:r>
        <w:rPr>
          <w:rFonts w:ascii="Calibri" w:cs="Calibri" w:eastAsia="Calibri" w:hAnsi="Calibri"/>
          <w:sz w:val="20"/>
          <w:szCs w:val="20"/>
        </w:rPr>
        <w:t xml:space="preserve">Groupe Facebook privé Eventy Famille (cohérence Programme de fidélisation).</w:t>
      </w:r>
    </w:p>
    <w:p>
      <w:pPr>
        <w:pStyle w:val="ListParagraph"/>
        <w:numPr>
          <w:ilvl w:val="0"/>
          <w:numId w:val="2"/>
        </w:numPr>
        <w:spacing w:after="60" w:line="260"/>
      </w:pPr>
      <w:r>
        <w:rPr>
          <w:rFonts w:ascii="Calibri" w:cs="Calibri" w:eastAsia="Calibri" w:hAnsi="Calibri"/>
          <w:sz w:val="20"/>
          <w:szCs w:val="20"/>
        </w:rPr>
        <w:t xml:space="preserve">Apéros trimestriels Paris + province (cohérence Plan d'événements).</w:t>
      </w:r>
    </w:p>
    <w:p>
      <w:pPr>
        <w:pStyle w:val="ListParagraph"/>
        <w:numPr>
          <w:ilvl w:val="0"/>
          <w:numId w:val="2"/>
        </w:numPr>
        <w:spacing w:after="60" w:line="260"/>
      </w:pPr>
      <w:r>
        <w:rPr>
          <w:rFonts w:ascii="Calibri" w:cs="Calibri" w:eastAsia="Calibri" w:hAnsi="Calibri"/>
          <w:sz w:val="20"/>
          <w:szCs w:val="20"/>
        </w:rPr>
        <w:t xml:space="preserve">Anniversaire Eventy annuel (cohérence Plan d'événements).</w:t>
      </w:r>
    </w:p>
    <w:p>
      <w:pPr>
        <w:spacing w:after="100" w:before="220"/>
      </w:pPr>
      <w:r>
        <w:rPr>
          <w:rFonts w:ascii="Calibri" w:cs="Calibri" w:eastAsia="Calibri" w:hAnsi="Calibri"/>
          <w:b/>
          <w:bCs/>
          <w:color w:val="E87722"/>
          <w:sz w:val="22"/>
          <w:szCs w:val="22"/>
        </w:rPr>
        <w:t xml:space="preserve">4.3. Communication marketing</w:t>
      </w:r>
    </w:p>
    <w:p>
      <w:pPr>
        <w:pStyle w:val="ListParagraph"/>
        <w:numPr>
          <w:ilvl w:val="0"/>
          <w:numId w:val="2"/>
        </w:numPr>
        <w:spacing w:after="60" w:line="260"/>
      </w:pPr>
      <w:r>
        <w:rPr>
          <w:rFonts w:ascii="Calibri" w:cs="Calibri" w:eastAsia="Calibri" w:hAnsi="Calibri"/>
          <w:sz w:val="20"/>
          <w:szCs w:val="20"/>
        </w:rPr>
        <w:t xml:space="preserve">Réseaux sociaux (cohérence Stratégie réseaux sociaux).</w:t>
      </w:r>
    </w:p>
    <w:p>
      <w:pPr>
        <w:pStyle w:val="ListParagraph"/>
        <w:numPr>
          <w:ilvl w:val="0"/>
          <w:numId w:val="2"/>
        </w:numPr>
        <w:spacing w:after="60" w:line="260"/>
      </w:pPr>
      <w:r>
        <w:rPr>
          <w:rFonts w:ascii="Calibri" w:cs="Calibri" w:eastAsia="Calibri" w:hAnsi="Calibri"/>
          <w:sz w:val="20"/>
          <w:szCs w:val="20"/>
        </w:rPr>
        <w:t xml:space="preserve">Blog (cohérence Ligne éditoriale blog).</w:t>
      </w:r>
    </w:p>
    <w:p>
      <w:pPr>
        <w:pStyle w:val="ListParagraph"/>
        <w:numPr>
          <w:ilvl w:val="0"/>
          <w:numId w:val="2"/>
        </w:numPr>
        <w:spacing w:after="60" w:line="260"/>
      </w:pPr>
      <w:r>
        <w:rPr>
          <w:rFonts w:ascii="Calibri" w:cs="Calibri" w:eastAsia="Calibri" w:hAnsi="Calibri"/>
          <w:sz w:val="20"/>
          <w:szCs w:val="20"/>
        </w:rPr>
        <w:t xml:space="preserve">Refus du sur-marketing (max 2 emails marketing/mois).</w:t>
      </w:r>
    </w:p>
    <w:p>
      <w:pPr>
        <w:pStyle w:val="ListParagraph"/>
        <w:numPr>
          <w:ilvl w:val="0"/>
          <w:numId w:val="2"/>
        </w:numPr>
        <w:spacing w:after="60" w:line="260"/>
      </w:pPr>
      <w:r>
        <w:rPr>
          <w:rFonts w:ascii="Calibri" w:cs="Calibri" w:eastAsia="Calibri" w:hAnsi="Calibri"/>
          <w:sz w:val="20"/>
          <w:szCs w:val="20"/>
        </w:rPr>
        <w:t xml:space="preserve">Désinscription en un clic (RGPD).</w:t>
      </w:r>
    </w:p>
    <w:p>
      <w:pPr>
        <w:spacing w:after="160" w:before="240"/>
      </w:pPr>
      <w:r>
        <w:rPr>
          <w:rFonts w:ascii="Calibri" w:cs="Calibri" w:eastAsia="Calibri" w:hAnsi="Calibri"/>
          <w:b/>
          <w:bCs/>
          <w:color w:val="1F4E79"/>
          <w:sz w:val="32"/>
          <w:szCs w:val="32"/>
        </w:rPr>
        <w:t xml:space="preserve">5. Communication de crise</w:t>
      </w:r>
    </w:p>
    <w:p>
      <w:pPr>
        <w:pStyle w:val="ListParagraph"/>
        <w:numPr>
          <w:ilvl w:val="0"/>
          <w:numId w:val="2"/>
        </w:numPr>
        <w:spacing w:after="60" w:line="260"/>
      </w:pPr>
      <w:r>
        <w:rPr>
          <w:rFonts w:ascii="Calibri" w:cs="Calibri" w:eastAsia="Calibri" w:hAnsi="Calibri"/>
          <w:sz w:val="20"/>
          <w:szCs w:val="20"/>
        </w:rPr>
        <w:t xml:space="preserve">Cohérence avec Procédure de gestion de crise communication.</w:t>
      </w:r>
    </w:p>
    <w:p>
      <w:pPr>
        <w:pStyle w:val="ListParagraph"/>
        <w:numPr>
          <w:ilvl w:val="0"/>
          <w:numId w:val="2"/>
        </w:numPr>
        <w:spacing w:after="60" w:line="260"/>
      </w:pPr>
      <w:r>
        <w:rPr>
          <w:rFonts w:ascii="Calibri" w:cs="Calibri" w:eastAsia="Calibri" w:hAnsi="Calibri"/>
          <w:sz w:val="20"/>
          <w:szCs w:val="20"/>
        </w:rPr>
        <w:t xml:space="preserve">Cellule de crise activée selon niveau.</w:t>
      </w:r>
    </w:p>
    <w:p>
      <w:pPr>
        <w:pStyle w:val="ListParagraph"/>
        <w:numPr>
          <w:ilvl w:val="0"/>
          <w:numId w:val="2"/>
        </w:numPr>
        <w:spacing w:after="60" w:line="260"/>
      </w:pPr>
      <w:r>
        <w:rPr>
          <w:rFonts w:ascii="Calibri" w:cs="Calibri" w:eastAsia="Calibri" w:hAnsi="Calibri"/>
          <w:sz w:val="20"/>
          <w:szCs w:val="20"/>
        </w:rPr>
        <w:t xml:space="preserve">Communication coordonnée et factuelle.</w:t>
      </w:r>
    </w:p>
    <w:p>
      <w:pPr>
        <w:pStyle w:val="ListParagraph"/>
        <w:numPr>
          <w:ilvl w:val="0"/>
          <w:numId w:val="2"/>
        </w:numPr>
        <w:spacing w:after="60" w:line="260"/>
      </w:pPr>
      <w:r>
        <w:rPr>
          <w:rFonts w:ascii="Calibri" w:cs="Calibri" w:eastAsia="Calibri" w:hAnsi="Calibri"/>
          <w:sz w:val="20"/>
          <w:szCs w:val="20"/>
        </w:rPr>
        <w:t xml:space="preserve">Cohérence Manuel d'incident voyage si crise opérationnelle.</w:t>
      </w:r>
    </w:p>
    <w:p>
      <w:pPr>
        <w:spacing w:after="160" w:before="240"/>
      </w:pPr>
      <w:r>
        <w:rPr>
          <w:rFonts w:ascii="Calibri" w:cs="Calibri" w:eastAsia="Calibri" w:hAnsi="Calibri"/>
          <w:b/>
          <w:bCs/>
          <w:color w:val="1F4E79"/>
          <w:sz w:val="32"/>
          <w:szCs w:val="32"/>
        </w:rPr>
        <w:t xml:space="preserve">6. Communication ascendante (équipe → direction)</w:t>
      </w:r>
    </w:p>
    <w:p>
      <w:pPr>
        <w:spacing w:after="100" w:before="220"/>
      </w:pPr>
      <w:r>
        <w:rPr>
          <w:rFonts w:ascii="Calibri" w:cs="Calibri" w:eastAsia="Calibri" w:hAnsi="Calibri"/>
          <w:b/>
          <w:bCs/>
          <w:color w:val="E87722"/>
          <w:sz w:val="22"/>
          <w:szCs w:val="22"/>
        </w:rPr>
        <w:t xml:space="preserve">6.1. Boîtes mail dédiées</w:t>
      </w:r>
    </w:p>
    <w:p>
      <w:pPr>
        <w:pStyle w:val="ListParagraph"/>
        <w:numPr>
          <w:ilvl w:val="0"/>
          <w:numId w:val="2"/>
        </w:numPr>
        <w:spacing w:after="60" w:line="260"/>
      </w:pPr>
      <w:r>
        <w:rPr>
          <w:rFonts w:ascii="Calibri" w:cs="Calibri" w:eastAsia="Calibri" w:hAnsi="Calibri"/>
          <w:sz w:val="20"/>
          <w:szCs w:val="20"/>
        </w:rPr>
        <w:t xml:space="preserve">alerte@eventylife.fr — signalement (cohérence Procédure de signalement).</w:t>
      </w:r>
    </w:p>
    <w:p>
      <w:pPr>
        <w:pStyle w:val="ListParagraph"/>
        <w:numPr>
          <w:ilvl w:val="0"/>
          <w:numId w:val="2"/>
        </w:numPr>
        <w:spacing w:after="60" w:line="260"/>
      </w:pPr>
      <w:r>
        <w:rPr>
          <w:rFonts w:ascii="Calibri" w:cs="Calibri" w:eastAsia="Calibri" w:hAnsi="Calibri"/>
          <w:sz w:val="20"/>
          <w:szCs w:val="20"/>
        </w:rPr>
        <w:t xml:space="preserve">conformite@eventylife.fr — conflits d'intérêts (cohérence document dédié).</w:t>
      </w:r>
    </w:p>
    <w:p>
      <w:pPr>
        <w:pStyle w:val="ListParagraph"/>
        <w:numPr>
          <w:ilvl w:val="0"/>
          <w:numId w:val="2"/>
        </w:numPr>
        <w:spacing w:after="60" w:line="260"/>
      </w:pPr>
      <w:r>
        <w:rPr>
          <w:rFonts w:ascii="Calibri" w:cs="Calibri" w:eastAsia="Calibri" w:hAnsi="Calibri"/>
          <w:sz w:val="20"/>
          <w:szCs w:val="20"/>
        </w:rPr>
        <w:t xml:space="preserve">idees@eventylife.fr — propositions d'amélioration.</w:t>
      </w:r>
    </w:p>
    <w:p>
      <w:pPr>
        <w:spacing w:after="100" w:before="220"/>
      </w:pPr>
      <w:r>
        <w:rPr>
          <w:rFonts w:ascii="Calibri" w:cs="Calibri" w:eastAsia="Calibri" w:hAnsi="Calibri"/>
          <w:b/>
          <w:bCs/>
          <w:color w:val="E87722"/>
          <w:sz w:val="22"/>
          <w:szCs w:val="22"/>
        </w:rPr>
        <w:t xml:space="preserve">6.2. Sondages anonymes</w:t>
      </w:r>
    </w:p>
    <w:p>
      <w:pPr>
        <w:pStyle w:val="ListParagraph"/>
        <w:numPr>
          <w:ilvl w:val="0"/>
          <w:numId w:val="2"/>
        </w:numPr>
        <w:spacing w:after="60" w:line="260"/>
      </w:pPr>
      <w:r>
        <w:rPr>
          <w:rFonts w:ascii="Calibri" w:cs="Calibri" w:eastAsia="Calibri" w:hAnsi="Calibri"/>
          <w:sz w:val="20"/>
          <w:szCs w:val="20"/>
        </w:rPr>
        <w:t xml:space="preserve">Trimestriel — climat équipe.</w:t>
      </w:r>
    </w:p>
    <w:p>
      <w:pPr>
        <w:pStyle w:val="ListParagraph"/>
        <w:numPr>
          <w:ilvl w:val="0"/>
          <w:numId w:val="2"/>
        </w:numPr>
        <w:spacing w:after="60" w:line="260"/>
      </w:pPr>
      <w:r>
        <w:rPr>
          <w:rFonts w:ascii="Calibri" w:cs="Calibri" w:eastAsia="Calibri" w:hAnsi="Calibri"/>
          <w:sz w:val="20"/>
          <w:szCs w:val="20"/>
        </w:rPr>
        <w:t xml:space="preserve">Annuel — engagement, satisfaction.</w:t>
      </w:r>
    </w:p>
    <w:p>
      <w:pPr>
        <w:pStyle w:val="ListParagraph"/>
        <w:numPr>
          <w:ilvl w:val="0"/>
          <w:numId w:val="2"/>
        </w:numPr>
        <w:spacing w:after="60" w:line="260"/>
      </w:pPr>
      <w:r>
        <w:rPr>
          <w:rFonts w:ascii="Calibri" w:cs="Calibri" w:eastAsia="Calibri" w:hAnsi="Calibri"/>
          <w:sz w:val="20"/>
          <w:szCs w:val="20"/>
        </w:rPr>
        <w:t xml:space="preserve">Restitution publique partielle (sans dévoiler identités).</w:t>
      </w:r>
    </w:p>
    <w:p>
      <w:pPr>
        <w:spacing w:after="100" w:before="220"/>
      </w:pPr>
      <w:r>
        <w:rPr>
          <w:rFonts w:ascii="Calibri" w:cs="Calibri" w:eastAsia="Calibri" w:hAnsi="Calibri"/>
          <w:b/>
          <w:bCs/>
          <w:color w:val="E87722"/>
          <w:sz w:val="22"/>
          <w:szCs w:val="22"/>
        </w:rPr>
        <w:t xml:space="preserve">6.3. Réunions ouvertes</w:t>
      </w:r>
    </w:p>
    <w:p>
      <w:pPr>
        <w:pStyle w:val="ListParagraph"/>
        <w:numPr>
          <w:ilvl w:val="0"/>
          <w:numId w:val="2"/>
        </w:numPr>
        <w:spacing w:after="60" w:line="260"/>
      </w:pPr>
      <w:r>
        <w:rPr>
          <w:rFonts w:ascii="Calibri" w:cs="Calibri" w:eastAsia="Calibri" w:hAnsi="Calibri"/>
          <w:sz w:val="20"/>
          <w:szCs w:val="20"/>
        </w:rPr>
        <w:t xml:space="preserve">All-hands avec questions ouvertes.</w:t>
      </w:r>
    </w:p>
    <w:p>
      <w:pPr>
        <w:pStyle w:val="ListParagraph"/>
        <w:numPr>
          <w:ilvl w:val="0"/>
          <w:numId w:val="2"/>
        </w:numPr>
        <w:spacing w:after="60" w:line="260"/>
      </w:pPr>
      <w:r>
        <w:rPr>
          <w:rFonts w:ascii="Calibri" w:cs="Calibri" w:eastAsia="Calibri" w:hAnsi="Calibri"/>
          <w:sz w:val="20"/>
          <w:szCs w:val="20"/>
        </w:rPr>
        <w:t xml:space="preserve">Café du jeudi (sujets libres).</w:t>
      </w:r>
    </w:p>
    <w:p>
      <w:pPr>
        <w:pStyle w:val="ListParagraph"/>
        <w:numPr>
          <w:ilvl w:val="0"/>
          <w:numId w:val="2"/>
        </w:numPr>
        <w:spacing w:after="60" w:line="260"/>
      </w:pPr>
      <w:r>
        <w:rPr>
          <w:rFonts w:ascii="Calibri" w:cs="Calibri" w:eastAsia="Calibri" w:hAnsi="Calibri"/>
          <w:sz w:val="20"/>
          <w:szCs w:val="20"/>
        </w:rPr>
        <w:t xml:space="preserve">Entretien annuel (espace de parole formalisé).</w:t>
      </w:r>
    </w:p>
    <w:p>
      <w:pPr>
        <w:spacing w:after="160" w:before="240"/>
      </w:pPr>
      <w:r>
        <w:rPr>
          <w:rFonts w:ascii="Calibri" w:cs="Calibri" w:eastAsia="Calibri" w:hAnsi="Calibri"/>
          <w:b/>
          <w:bCs/>
          <w:color w:val="1F4E79"/>
          <w:sz w:val="32"/>
          <w:szCs w:val="32"/>
        </w:rPr>
        <w:t xml:space="preserve">7. Indicateurs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Taux participation all-hands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95 %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Taux participation séminaires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Taux participation sondage interne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80 %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NPS interne (eNPS)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+ 30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+ 50</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Délai réponse email équipe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48 h</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24 h</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Newsletter interne mensuelle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12/an</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12/an</w:t>
            </w:r>
          </w:p>
        </w:tc>
      </w:tr>
    </w:tbl>
    <w:p>
      <w:pPr>
        <w:spacing w:after="160" w:before="240"/>
      </w:pPr>
      <w:r>
        <w:rPr>
          <w:rFonts w:ascii="Calibri" w:cs="Calibri" w:eastAsia="Calibri" w:hAnsi="Calibri"/>
          <w:b/>
          <w:bCs/>
          <w:color w:val="1F4E79"/>
          <w:sz w:val="32"/>
          <w:szCs w:val="32"/>
        </w:rPr>
        <w:t xml:space="preserve">8. Engagements éthiques</w:t>
      </w:r>
    </w:p>
    <w:p>
      <w:pPr>
        <w:pStyle w:val="ListParagraph"/>
        <w:numPr>
          <w:ilvl w:val="0"/>
          <w:numId w:val="2"/>
        </w:numPr>
        <w:spacing w:after="60" w:line="260"/>
      </w:pPr>
      <w:r>
        <w:rPr>
          <w:rFonts w:ascii="Calibri" w:cs="Calibri" w:eastAsia="Calibri" w:hAnsi="Calibri"/>
          <w:sz w:val="20"/>
          <w:szCs w:val="20"/>
        </w:rPr>
        <w:t xml:space="preserve">Refus du tutoiement imposé ou interdit (libre choix).</w:t>
      </w:r>
    </w:p>
    <w:p>
      <w:pPr>
        <w:pStyle w:val="ListParagraph"/>
        <w:numPr>
          <w:ilvl w:val="0"/>
          <w:numId w:val="2"/>
        </w:numPr>
        <w:spacing w:after="60" w:line="260"/>
      </w:pPr>
      <w:r>
        <w:rPr>
          <w:rFonts w:ascii="Calibri" w:cs="Calibri" w:eastAsia="Calibri" w:hAnsi="Calibri"/>
          <w:sz w:val="20"/>
          <w:szCs w:val="20"/>
        </w:rPr>
        <w:t xml:space="preserve">Refus du jargon corporate (cohérence Charte éditoriale).</w:t>
      </w:r>
    </w:p>
    <w:p>
      <w:pPr>
        <w:pStyle w:val="ListParagraph"/>
        <w:numPr>
          <w:ilvl w:val="0"/>
          <w:numId w:val="2"/>
        </w:numPr>
        <w:spacing w:after="60" w:line="260"/>
      </w:pPr>
      <w:r>
        <w:rPr>
          <w:rFonts w:ascii="Calibri" w:cs="Calibri" w:eastAsia="Calibri" w:hAnsi="Calibri"/>
          <w:sz w:val="20"/>
          <w:szCs w:val="20"/>
        </w:rPr>
        <w:t xml:space="preserve">Refus de la communication condescendante.</w:t>
      </w:r>
    </w:p>
    <w:p>
      <w:pPr>
        <w:pStyle w:val="ListParagraph"/>
        <w:numPr>
          <w:ilvl w:val="0"/>
          <w:numId w:val="2"/>
        </w:numPr>
        <w:spacing w:after="60" w:line="260"/>
      </w:pPr>
      <w:r>
        <w:rPr>
          <w:rFonts w:ascii="Calibri" w:cs="Calibri" w:eastAsia="Calibri" w:hAnsi="Calibri"/>
          <w:sz w:val="20"/>
          <w:szCs w:val="20"/>
        </w:rPr>
        <w:t xml:space="preserve">Refus du silence radio (information régulière même en période calme).</w:t>
      </w:r>
    </w:p>
    <w:p>
      <w:pPr>
        <w:pStyle w:val="ListParagraph"/>
        <w:numPr>
          <w:ilvl w:val="0"/>
          <w:numId w:val="2"/>
        </w:numPr>
        <w:spacing w:after="60" w:line="260"/>
      </w:pPr>
      <w:r>
        <w:rPr>
          <w:rFonts w:ascii="Calibri" w:cs="Calibri" w:eastAsia="Calibri" w:hAnsi="Calibri"/>
          <w:sz w:val="20"/>
          <w:szCs w:val="20"/>
        </w:rPr>
        <w:t xml:space="preserve">Refus de la rétention d'information sans raison légitime.</w:t>
      </w:r>
    </w:p>
    <w:p>
      <w:pPr>
        <w:pStyle w:val="ListParagraph"/>
        <w:numPr>
          <w:ilvl w:val="0"/>
          <w:numId w:val="2"/>
        </w:numPr>
        <w:spacing w:after="60" w:line="260"/>
      </w:pPr>
      <w:r>
        <w:rPr>
          <w:rFonts w:ascii="Calibri" w:cs="Calibri" w:eastAsia="Calibri" w:hAnsi="Calibri"/>
          <w:sz w:val="20"/>
          <w:szCs w:val="20"/>
        </w:rPr>
        <w:t xml:space="preserve">Engagement à reconnaître les contributions de chacun.</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interne — Version 1.0 — 2 mai 2026. Mise à jour annuelle.</w:t>
      </w:r>
    </w:p>
    <w:p>
      <w:pPr>
        <w:spacing w:after="100" w:line="280"/>
        <w:jc w:val="both"/>
      </w:pPr>
      <w:r>
        <w:rPr>
          <w:rFonts w:ascii="Calibri" w:cs="Calibri" w:eastAsia="Calibri" w:hAnsi="Calibri"/>
          <w:i/>
          <w:iCs/>
          <w:color w:val="555555"/>
          <w:sz w:val="18"/>
          <w:szCs w:val="18"/>
        </w:rPr>
        <w:t xml:space="preserve">Cohérence avec : Charte télétravail, Manuel des opérations quotidiennes, Charte éditoriale, Stratégie réseaux sociaux, Programme de fidélisation Eventy Famille, Plan d'événements, Procédure de gestion de crise communication, Procédure de signalement, Politique conflits d'intérêts.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Plan de communication interne</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Plan de communication interne</dc:title>
  <dc:creator>David Eventy — Eventy Life SAS</dc:creator>
  <dc:description>Référentiel des échanges équipe, partenaires et voyageurs.</dc:description>
  <cp:lastModifiedBy>Un-named</cp:lastModifiedBy>
  <cp:revision>1</cp:revision>
  <dcterms:created xsi:type="dcterms:W3CDTF">2026-05-02T03:52:29.847Z</dcterms:created>
  <dcterms:modified xsi:type="dcterms:W3CDTF">2026-05-02T03:52:29.847Z</dcterms:modified>
</cp:coreProperties>
</file>

<file path=docProps/custom.xml><?xml version="1.0" encoding="utf-8"?>
<Properties xmlns="http://schemas.openxmlformats.org/officeDocument/2006/custom-properties" xmlns:vt="http://schemas.openxmlformats.org/officeDocument/2006/docPropsVTypes"/>
</file>