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PROCÉDURE D'AMÉLIORATION CONTINUE EVENTY</w:t>
            </w:r>
          </w:p>
          <w:p>
            <w:pPr>
              <w:spacing w:after="0"/>
              <w:jc w:val="center"/>
            </w:pPr>
            <w:r>
              <w:rPr>
                <w:rFonts w:ascii="Calibri" w:cs="Calibri" w:eastAsia="Calibri" w:hAnsi="Calibri"/>
                <w:i/>
                <w:iCs/>
                <w:color w:val="1F4E79"/>
                <w:sz w:val="18"/>
                <w:szCs w:val="18"/>
              </w:rPr>
              <w:t xml:space="preserve">Méthodologie de retour d'expérience et culture d'apprentissage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procédure formalise la démarche d'amélioration continue d'EVENTY LIFE SAS. Inspirée des méthodologies Kaizen et lean (sans en reprendre le jargon corporate), elle pose un cadre simple pour apprendre, ajuster et progresser collectivement. Elle complète le Manuel d'incident voyage, la Procédure de réclamation détaillée, le Plan d'audit interne et la Procédure de signalement.</w:t>
      </w:r>
    </w:p>
    <w:p>
      <w:pPr>
        <w:spacing w:after="100" w:line="280"/>
        <w:jc w:val="both"/>
      </w:pPr>
      <w:r>
        <w:rPr>
          <w:rFonts w:ascii="Calibri" w:cs="Calibri" w:eastAsia="Calibri" w:hAnsi="Calibri"/>
          <w:i/>
          <w:iCs/>
          <w:color w:val="1A1A1A"/>
          <w:sz w:val="20"/>
          <w:szCs w:val="20"/>
        </w:rPr>
        <w:t xml:space="preserve">Eventy refuse la culture du « zéro défaut » qui finit par étouffer toute prise de risque. Notre approche : tolérance pour l'erreur honnête, refus de l'erreur cachée, recherche systématique de la cause racine, partage des apprentissages. Une équipe qui apprend de ses échecs progresse plus vite qu'une équipe qui les masque.</w:t>
      </w:r>
    </w:p>
    <w:p>
      <w:pPr>
        <w:spacing w:after="160" w:before="240"/>
      </w:pPr>
      <w:r>
        <w:rPr>
          <w:rFonts w:ascii="Calibri" w:cs="Calibri" w:eastAsia="Calibri" w:hAnsi="Calibri"/>
          <w:b/>
          <w:bCs/>
          <w:color w:val="1F4E79"/>
          <w:sz w:val="32"/>
          <w:szCs w:val="32"/>
        </w:rPr>
        <w:t xml:space="preserve">1. Principes directeurs</w:t>
      </w:r>
    </w:p>
    <w:p>
      <w:pPr>
        <w:spacing w:after="100" w:before="220"/>
      </w:pPr>
      <w:r>
        <w:rPr>
          <w:rFonts w:ascii="Calibri" w:cs="Calibri" w:eastAsia="Calibri" w:hAnsi="Calibri"/>
          <w:b/>
          <w:bCs/>
          <w:color w:val="E87722"/>
          <w:sz w:val="22"/>
          <w:szCs w:val="22"/>
        </w:rPr>
        <w:t xml:space="preserve">1.1. Cinq principes</w:t>
      </w:r>
    </w:p>
    <w:p>
      <w:pPr>
        <w:pStyle w:val="ListParagraph"/>
        <w:numPr>
          <w:ilvl w:val="0"/>
          <w:numId w:val="2"/>
        </w:numPr>
        <w:spacing w:after="60" w:line="260"/>
      </w:pPr>
      <w:r>
        <w:rPr>
          <w:rFonts w:ascii="Calibri" w:cs="Calibri" w:eastAsia="Calibri" w:hAnsi="Calibri"/>
          <w:sz w:val="20"/>
          <w:szCs w:val="20"/>
        </w:rPr>
        <w:t xml:space="preserve">Bienveillance — chercher la cause, pas le coupable.</w:t>
      </w:r>
    </w:p>
    <w:p>
      <w:pPr>
        <w:pStyle w:val="ListParagraph"/>
        <w:numPr>
          <w:ilvl w:val="0"/>
          <w:numId w:val="2"/>
        </w:numPr>
        <w:spacing w:after="60" w:line="260"/>
      </w:pPr>
      <w:r>
        <w:rPr>
          <w:rFonts w:ascii="Calibri" w:cs="Calibri" w:eastAsia="Calibri" w:hAnsi="Calibri"/>
          <w:sz w:val="20"/>
          <w:szCs w:val="20"/>
        </w:rPr>
        <w:t xml:space="preserve">Transparence — l'erreur cachée est plus dangereuse que l'erreur signalée.</w:t>
      </w:r>
    </w:p>
    <w:p>
      <w:pPr>
        <w:pStyle w:val="ListParagraph"/>
        <w:numPr>
          <w:ilvl w:val="0"/>
          <w:numId w:val="2"/>
        </w:numPr>
        <w:spacing w:after="60" w:line="260"/>
      </w:pPr>
      <w:r>
        <w:rPr>
          <w:rFonts w:ascii="Calibri" w:cs="Calibri" w:eastAsia="Calibri" w:hAnsi="Calibri"/>
          <w:sz w:val="20"/>
          <w:szCs w:val="20"/>
        </w:rPr>
        <w:t xml:space="preserve">Apprentissage collectif — partager les retours d'expérience.</w:t>
      </w:r>
    </w:p>
    <w:p>
      <w:pPr>
        <w:pStyle w:val="ListParagraph"/>
        <w:numPr>
          <w:ilvl w:val="0"/>
          <w:numId w:val="2"/>
        </w:numPr>
        <w:spacing w:after="60" w:line="260"/>
      </w:pPr>
      <w:r>
        <w:rPr>
          <w:rFonts w:ascii="Calibri" w:cs="Calibri" w:eastAsia="Calibri" w:hAnsi="Calibri"/>
          <w:sz w:val="20"/>
          <w:szCs w:val="20"/>
        </w:rPr>
        <w:t xml:space="preserve">Pas de double peine — refus du blame sur erreur honnête signalée.</w:t>
      </w:r>
    </w:p>
    <w:p>
      <w:pPr>
        <w:pStyle w:val="ListParagraph"/>
        <w:numPr>
          <w:ilvl w:val="0"/>
          <w:numId w:val="2"/>
        </w:numPr>
        <w:spacing w:after="60" w:line="260"/>
      </w:pPr>
      <w:r>
        <w:rPr>
          <w:rFonts w:ascii="Calibri" w:cs="Calibri" w:eastAsia="Calibri" w:hAnsi="Calibri"/>
          <w:sz w:val="20"/>
          <w:szCs w:val="20"/>
        </w:rPr>
        <w:t xml:space="preserve">Petits pas — préférer 100 améliorations modestes à 1 transformation majeure.</w:t>
      </w:r>
    </w:p>
    <w:p>
      <w:pPr>
        <w:spacing w:after="100" w:before="220"/>
      </w:pPr>
      <w:r>
        <w:rPr>
          <w:rFonts w:ascii="Calibri" w:cs="Calibri" w:eastAsia="Calibri" w:hAnsi="Calibri"/>
          <w:b/>
          <w:bCs/>
          <w:color w:val="E87722"/>
          <w:sz w:val="22"/>
          <w:szCs w:val="22"/>
        </w:rPr>
        <w:t xml:space="preserve">1.2. Refus structurés</w:t>
      </w:r>
    </w:p>
    <w:p>
      <w:pPr>
        <w:pStyle w:val="ListParagraph"/>
        <w:numPr>
          <w:ilvl w:val="0"/>
          <w:numId w:val="2"/>
        </w:numPr>
        <w:spacing w:after="60" w:line="260"/>
      </w:pPr>
      <w:r>
        <w:rPr>
          <w:rFonts w:ascii="Calibri" w:cs="Calibri" w:eastAsia="Calibri" w:hAnsi="Calibri"/>
          <w:sz w:val="20"/>
          <w:szCs w:val="20"/>
        </w:rPr>
        <w:t xml:space="preserve">Refus de la culture du blame.</w:t>
      </w:r>
    </w:p>
    <w:p>
      <w:pPr>
        <w:pStyle w:val="ListParagraph"/>
        <w:numPr>
          <w:ilvl w:val="0"/>
          <w:numId w:val="2"/>
        </w:numPr>
        <w:spacing w:after="60" w:line="260"/>
      </w:pPr>
      <w:r>
        <w:rPr>
          <w:rFonts w:ascii="Calibri" w:cs="Calibri" w:eastAsia="Calibri" w:hAnsi="Calibri"/>
          <w:sz w:val="20"/>
          <w:szCs w:val="20"/>
        </w:rPr>
        <w:t xml:space="preserve">Refus du « zéro défaut » paralysant.</w:t>
      </w:r>
    </w:p>
    <w:p>
      <w:pPr>
        <w:pStyle w:val="ListParagraph"/>
        <w:numPr>
          <w:ilvl w:val="0"/>
          <w:numId w:val="2"/>
        </w:numPr>
        <w:spacing w:after="60" w:line="260"/>
      </w:pPr>
      <w:r>
        <w:rPr>
          <w:rFonts w:ascii="Calibri" w:cs="Calibri" w:eastAsia="Calibri" w:hAnsi="Calibri"/>
          <w:sz w:val="20"/>
          <w:szCs w:val="20"/>
        </w:rPr>
        <w:t xml:space="preserve">Refus du dogmatisme méthodologique (lean, kaizen ne sont pas des religions).</w:t>
      </w:r>
    </w:p>
    <w:p>
      <w:pPr>
        <w:pStyle w:val="ListParagraph"/>
        <w:numPr>
          <w:ilvl w:val="0"/>
          <w:numId w:val="2"/>
        </w:numPr>
        <w:spacing w:after="60" w:line="260"/>
      </w:pPr>
      <w:r>
        <w:rPr>
          <w:rFonts w:ascii="Calibri" w:cs="Calibri" w:eastAsia="Calibri" w:hAnsi="Calibri"/>
          <w:sz w:val="20"/>
          <w:szCs w:val="20"/>
        </w:rPr>
        <w:t xml:space="preserve">Refus des audits punitifs.</w:t>
      </w:r>
    </w:p>
    <w:p>
      <w:pPr>
        <w:pStyle w:val="ListParagraph"/>
        <w:numPr>
          <w:ilvl w:val="0"/>
          <w:numId w:val="2"/>
        </w:numPr>
        <w:spacing w:after="60" w:line="260"/>
      </w:pPr>
      <w:r>
        <w:rPr>
          <w:rFonts w:ascii="Calibri" w:cs="Calibri" w:eastAsia="Calibri" w:hAnsi="Calibri"/>
          <w:sz w:val="20"/>
          <w:szCs w:val="20"/>
        </w:rPr>
        <w:t xml:space="preserve">Refus de l'amélioration imposée (l'équipe co-construit).</w:t>
      </w:r>
    </w:p>
    <w:p>
      <w:pPr>
        <w:spacing w:after="160" w:before="240"/>
      </w:pPr>
      <w:r>
        <w:rPr>
          <w:rFonts w:ascii="Calibri" w:cs="Calibri" w:eastAsia="Calibri" w:hAnsi="Calibri"/>
          <w:b/>
          <w:bCs/>
          <w:color w:val="1F4E79"/>
          <w:sz w:val="32"/>
          <w:szCs w:val="32"/>
        </w:rPr>
        <w:t xml:space="preserve">2. Sources d'amélioration</w:t>
      </w:r>
    </w:p>
    <w:p>
      <w:pPr>
        <w:spacing w:after="100" w:before="220"/>
      </w:pPr>
      <w:r>
        <w:rPr>
          <w:rFonts w:ascii="Calibri" w:cs="Calibri" w:eastAsia="Calibri" w:hAnsi="Calibri"/>
          <w:b/>
          <w:bCs/>
          <w:color w:val="E87722"/>
          <w:sz w:val="22"/>
          <w:szCs w:val="22"/>
        </w:rPr>
        <w:t xml:space="preserve">2.1. Sources internes</w:t>
      </w:r>
    </w:p>
    <w:p>
      <w:pPr>
        <w:pStyle w:val="ListParagraph"/>
        <w:numPr>
          <w:ilvl w:val="0"/>
          <w:numId w:val="2"/>
        </w:numPr>
        <w:spacing w:after="60" w:line="260"/>
      </w:pPr>
      <w:r>
        <w:rPr>
          <w:rFonts w:ascii="Calibri" w:cs="Calibri" w:eastAsia="Calibri" w:hAnsi="Calibri"/>
          <w:sz w:val="20"/>
          <w:szCs w:val="20"/>
        </w:rPr>
        <w:t xml:space="preserve">Suggestions équipe (idees@eventylife.fr — cohérence Plan de communication interne).</w:t>
      </w:r>
    </w:p>
    <w:p>
      <w:pPr>
        <w:pStyle w:val="ListParagraph"/>
        <w:numPr>
          <w:ilvl w:val="0"/>
          <w:numId w:val="2"/>
        </w:numPr>
        <w:spacing w:after="60" w:line="260"/>
      </w:pPr>
      <w:r>
        <w:rPr>
          <w:rFonts w:ascii="Calibri" w:cs="Calibri" w:eastAsia="Calibri" w:hAnsi="Calibri"/>
          <w:sz w:val="20"/>
          <w:szCs w:val="20"/>
        </w:rPr>
        <w:t xml:space="preserve">Retours après chaque voyage (NPS, verbatim, débrief accompagnateur).</w:t>
      </w:r>
    </w:p>
    <w:p>
      <w:pPr>
        <w:pStyle w:val="ListParagraph"/>
        <w:numPr>
          <w:ilvl w:val="0"/>
          <w:numId w:val="2"/>
        </w:numPr>
        <w:spacing w:after="60" w:line="260"/>
      </w:pPr>
      <w:r>
        <w:rPr>
          <w:rFonts w:ascii="Calibri" w:cs="Calibri" w:eastAsia="Calibri" w:hAnsi="Calibri"/>
          <w:sz w:val="20"/>
          <w:szCs w:val="20"/>
        </w:rPr>
        <w:t xml:space="preserve">Audits internes (cohérence Plan d'audit interne).</w:t>
      </w:r>
    </w:p>
    <w:p>
      <w:pPr>
        <w:pStyle w:val="ListParagraph"/>
        <w:numPr>
          <w:ilvl w:val="0"/>
          <w:numId w:val="2"/>
        </w:numPr>
        <w:spacing w:after="60" w:line="260"/>
      </w:pPr>
      <w:r>
        <w:rPr>
          <w:rFonts w:ascii="Calibri" w:cs="Calibri" w:eastAsia="Calibri" w:hAnsi="Calibri"/>
          <w:sz w:val="20"/>
          <w:szCs w:val="20"/>
        </w:rPr>
        <w:t xml:space="preserve">Indicateurs (Tableau de bord opérationnel).</w:t>
      </w:r>
    </w:p>
    <w:p>
      <w:pPr>
        <w:pStyle w:val="ListParagraph"/>
        <w:numPr>
          <w:ilvl w:val="0"/>
          <w:numId w:val="2"/>
        </w:numPr>
        <w:spacing w:after="60" w:line="260"/>
      </w:pPr>
      <w:r>
        <w:rPr>
          <w:rFonts w:ascii="Calibri" w:cs="Calibri" w:eastAsia="Calibri" w:hAnsi="Calibri"/>
          <w:sz w:val="20"/>
          <w:szCs w:val="20"/>
        </w:rPr>
        <w:t xml:space="preserve">Bilans trimestriels et annuels.</w:t>
      </w:r>
    </w:p>
    <w:p>
      <w:pPr>
        <w:spacing w:after="100" w:before="220"/>
      </w:pPr>
      <w:r>
        <w:rPr>
          <w:rFonts w:ascii="Calibri" w:cs="Calibri" w:eastAsia="Calibri" w:hAnsi="Calibri"/>
          <w:b/>
          <w:bCs/>
          <w:color w:val="E87722"/>
          <w:sz w:val="22"/>
          <w:szCs w:val="22"/>
        </w:rPr>
        <w:t xml:space="preserve">2.2. Sources externes</w:t>
      </w:r>
    </w:p>
    <w:p>
      <w:pPr>
        <w:pStyle w:val="ListParagraph"/>
        <w:numPr>
          <w:ilvl w:val="0"/>
          <w:numId w:val="2"/>
        </w:numPr>
        <w:spacing w:after="60" w:line="260"/>
      </w:pPr>
      <w:r>
        <w:rPr>
          <w:rFonts w:ascii="Calibri" w:cs="Calibri" w:eastAsia="Calibri" w:hAnsi="Calibri"/>
          <w:sz w:val="20"/>
          <w:szCs w:val="20"/>
        </w:rPr>
        <w:t xml:space="preserve">Réclamations voyageurs (cohérence Procédure de réclamation détaillée).</w:t>
      </w:r>
    </w:p>
    <w:p>
      <w:pPr>
        <w:pStyle w:val="ListParagraph"/>
        <w:numPr>
          <w:ilvl w:val="0"/>
          <w:numId w:val="2"/>
        </w:numPr>
        <w:spacing w:after="60" w:line="260"/>
      </w:pPr>
      <w:r>
        <w:rPr>
          <w:rFonts w:ascii="Calibri" w:cs="Calibri" w:eastAsia="Calibri" w:hAnsi="Calibri"/>
          <w:sz w:val="20"/>
          <w:szCs w:val="20"/>
        </w:rPr>
        <w:t xml:space="preserve">Avis publics (cohérence Politique avis voyageurs).</w:t>
      </w:r>
    </w:p>
    <w:p>
      <w:pPr>
        <w:pStyle w:val="ListParagraph"/>
        <w:numPr>
          <w:ilvl w:val="0"/>
          <w:numId w:val="2"/>
        </w:numPr>
        <w:spacing w:after="60" w:line="260"/>
      </w:pPr>
      <w:r>
        <w:rPr>
          <w:rFonts w:ascii="Calibri" w:cs="Calibri" w:eastAsia="Calibri" w:hAnsi="Calibri"/>
          <w:sz w:val="20"/>
          <w:szCs w:val="20"/>
        </w:rPr>
        <w:t xml:space="preserve">Retours partenaires HRA, créateurs, vendeurs.</w:t>
      </w:r>
    </w:p>
    <w:p>
      <w:pPr>
        <w:pStyle w:val="ListParagraph"/>
        <w:numPr>
          <w:ilvl w:val="0"/>
          <w:numId w:val="2"/>
        </w:numPr>
        <w:spacing w:after="60" w:line="260"/>
      </w:pPr>
      <w:r>
        <w:rPr>
          <w:rFonts w:ascii="Calibri" w:cs="Calibri" w:eastAsia="Calibri" w:hAnsi="Calibri"/>
          <w:sz w:val="20"/>
          <w:szCs w:val="20"/>
        </w:rPr>
        <w:t xml:space="preserve">Veille concurrentielle (cohérence Plan d'études et veille marché).</w:t>
      </w:r>
    </w:p>
    <w:p>
      <w:pPr>
        <w:pStyle w:val="ListParagraph"/>
        <w:numPr>
          <w:ilvl w:val="0"/>
          <w:numId w:val="2"/>
        </w:numPr>
        <w:spacing w:after="60" w:line="260"/>
      </w:pPr>
      <w:r>
        <w:rPr>
          <w:rFonts w:ascii="Calibri" w:cs="Calibri" w:eastAsia="Calibri" w:hAnsi="Calibri"/>
          <w:sz w:val="20"/>
          <w:szCs w:val="20"/>
        </w:rPr>
        <w:t xml:space="preserve">Audits externes (CAC, PASSI, DPO, ISO).</w:t>
      </w:r>
    </w:p>
    <w:p>
      <w:pPr>
        <w:spacing w:after="100" w:before="220"/>
      </w:pPr>
      <w:r>
        <w:rPr>
          <w:rFonts w:ascii="Calibri" w:cs="Calibri" w:eastAsia="Calibri" w:hAnsi="Calibri"/>
          <w:b/>
          <w:bCs/>
          <w:color w:val="E87722"/>
          <w:sz w:val="22"/>
          <w:szCs w:val="22"/>
        </w:rPr>
        <w:t xml:space="preserve">2.3. Sources d'incidents</w:t>
      </w:r>
    </w:p>
    <w:p>
      <w:pPr>
        <w:pStyle w:val="ListParagraph"/>
        <w:numPr>
          <w:ilvl w:val="0"/>
          <w:numId w:val="2"/>
        </w:numPr>
        <w:spacing w:after="60" w:line="260"/>
      </w:pPr>
      <w:r>
        <w:rPr>
          <w:rFonts w:ascii="Calibri" w:cs="Calibri" w:eastAsia="Calibri" w:hAnsi="Calibri"/>
          <w:sz w:val="20"/>
          <w:szCs w:val="20"/>
        </w:rPr>
        <w:t xml:space="preserve">Incidents voyage (cohérence Manuel d'incident voyage).</w:t>
      </w:r>
    </w:p>
    <w:p>
      <w:pPr>
        <w:pStyle w:val="ListParagraph"/>
        <w:numPr>
          <w:ilvl w:val="0"/>
          <w:numId w:val="2"/>
        </w:numPr>
        <w:spacing w:after="60" w:line="260"/>
      </w:pPr>
      <w:r>
        <w:rPr>
          <w:rFonts w:ascii="Calibri" w:cs="Calibri" w:eastAsia="Calibri" w:hAnsi="Calibri"/>
          <w:sz w:val="20"/>
          <w:szCs w:val="20"/>
        </w:rPr>
        <w:t xml:space="preserve">Incidents cybersécurité (cohérence Politique cybersécurité).</w:t>
      </w:r>
    </w:p>
    <w:p>
      <w:pPr>
        <w:pStyle w:val="ListParagraph"/>
        <w:numPr>
          <w:ilvl w:val="0"/>
          <w:numId w:val="2"/>
        </w:numPr>
        <w:spacing w:after="60" w:line="260"/>
      </w:pPr>
      <w:r>
        <w:rPr>
          <w:rFonts w:ascii="Calibri" w:cs="Calibri" w:eastAsia="Calibri" w:hAnsi="Calibri"/>
          <w:sz w:val="20"/>
          <w:szCs w:val="20"/>
        </w:rPr>
        <w:t xml:space="preserve">Crises (cohérence Procédure de gestion de crise communication).</w:t>
      </w:r>
    </w:p>
    <w:p>
      <w:pPr>
        <w:pStyle w:val="ListParagraph"/>
        <w:numPr>
          <w:ilvl w:val="0"/>
          <w:numId w:val="2"/>
        </w:numPr>
        <w:spacing w:after="60" w:line="260"/>
      </w:pPr>
      <w:r>
        <w:rPr>
          <w:rFonts w:ascii="Calibri" w:cs="Calibri" w:eastAsia="Calibri" w:hAnsi="Calibri"/>
          <w:sz w:val="20"/>
          <w:szCs w:val="20"/>
        </w:rPr>
        <w:t xml:space="preserve">Signalements lanceurs d'alerte (cohérence Procédure de signalement).</w:t>
      </w:r>
    </w:p>
    <w:p>
      <w:pPr>
        <w:spacing w:after="160" w:before="240"/>
      </w:pPr>
      <w:r>
        <w:rPr>
          <w:rFonts w:ascii="Calibri" w:cs="Calibri" w:eastAsia="Calibri" w:hAnsi="Calibri"/>
          <w:b/>
          <w:bCs/>
          <w:color w:val="1F4E79"/>
          <w:sz w:val="32"/>
          <w:szCs w:val="32"/>
        </w:rPr>
        <w:t xml:space="preserve">3. Cycle d'amélioration continue (PDCA adapté)</w:t>
      </w:r>
    </w:p>
    <w:p>
      <w:pPr>
        <w:spacing w:after="100" w:before="220"/>
      </w:pPr>
      <w:r>
        <w:rPr>
          <w:rFonts w:ascii="Calibri" w:cs="Calibri" w:eastAsia="Calibri" w:hAnsi="Calibri"/>
          <w:b/>
          <w:bCs/>
          <w:color w:val="E87722"/>
          <w:sz w:val="22"/>
          <w:szCs w:val="22"/>
        </w:rPr>
        <w:t xml:space="preserve">3.1. Plan — identifier</w:t>
      </w:r>
    </w:p>
    <w:p>
      <w:pPr>
        <w:pStyle w:val="ListParagraph"/>
        <w:numPr>
          <w:ilvl w:val="0"/>
          <w:numId w:val="2"/>
        </w:numPr>
        <w:spacing w:after="60" w:line="260"/>
      </w:pPr>
      <w:r>
        <w:rPr>
          <w:rFonts w:ascii="Calibri" w:cs="Calibri" w:eastAsia="Calibri" w:hAnsi="Calibri"/>
          <w:sz w:val="20"/>
          <w:szCs w:val="20"/>
        </w:rPr>
        <w:t xml:space="preserve">Recueil des idées et signaux.</w:t>
      </w:r>
    </w:p>
    <w:p>
      <w:pPr>
        <w:pStyle w:val="ListParagraph"/>
        <w:numPr>
          <w:ilvl w:val="0"/>
          <w:numId w:val="2"/>
        </w:numPr>
        <w:spacing w:after="60" w:line="260"/>
      </w:pPr>
      <w:r>
        <w:rPr>
          <w:rFonts w:ascii="Calibri" w:cs="Calibri" w:eastAsia="Calibri" w:hAnsi="Calibri"/>
          <w:sz w:val="20"/>
          <w:szCs w:val="20"/>
        </w:rPr>
        <w:t xml:space="preserve">Priorisation par impact / faisabilité.</w:t>
      </w:r>
    </w:p>
    <w:p>
      <w:pPr>
        <w:pStyle w:val="ListParagraph"/>
        <w:numPr>
          <w:ilvl w:val="0"/>
          <w:numId w:val="2"/>
        </w:numPr>
        <w:spacing w:after="60" w:line="260"/>
      </w:pPr>
      <w:r>
        <w:rPr>
          <w:rFonts w:ascii="Calibri" w:cs="Calibri" w:eastAsia="Calibri" w:hAnsi="Calibri"/>
          <w:sz w:val="20"/>
          <w:szCs w:val="20"/>
        </w:rPr>
        <w:t xml:space="preserve">Cadrage de l'amélioration (objectif, périmètre, échéance).</w:t>
      </w:r>
    </w:p>
    <w:p>
      <w:pPr>
        <w:spacing w:after="100" w:before="220"/>
      </w:pPr>
      <w:r>
        <w:rPr>
          <w:rFonts w:ascii="Calibri" w:cs="Calibri" w:eastAsia="Calibri" w:hAnsi="Calibri"/>
          <w:b/>
          <w:bCs/>
          <w:color w:val="E87722"/>
          <w:sz w:val="22"/>
          <w:szCs w:val="22"/>
        </w:rPr>
        <w:t xml:space="preserve">3.2. Do — expérimenter</w:t>
      </w:r>
    </w:p>
    <w:p>
      <w:pPr>
        <w:pStyle w:val="ListParagraph"/>
        <w:numPr>
          <w:ilvl w:val="0"/>
          <w:numId w:val="2"/>
        </w:numPr>
        <w:spacing w:after="60" w:line="260"/>
      </w:pPr>
      <w:r>
        <w:rPr>
          <w:rFonts w:ascii="Calibri" w:cs="Calibri" w:eastAsia="Calibri" w:hAnsi="Calibri"/>
          <w:sz w:val="20"/>
          <w:szCs w:val="20"/>
        </w:rPr>
        <w:t xml:space="preserve">Mise en œuvre du changement (souvent à petite échelle d'abord).</w:t>
      </w:r>
    </w:p>
    <w:p>
      <w:pPr>
        <w:pStyle w:val="ListParagraph"/>
        <w:numPr>
          <w:ilvl w:val="0"/>
          <w:numId w:val="2"/>
        </w:numPr>
        <w:spacing w:after="60" w:line="260"/>
      </w:pPr>
      <w:r>
        <w:rPr>
          <w:rFonts w:ascii="Calibri" w:cs="Calibri" w:eastAsia="Calibri" w:hAnsi="Calibri"/>
          <w:sz w:val="20"/>
          <w:szCs w:val="20"/>
        </w:rPr>
        <w:t xml:space="preserve">Observation et collecte de données.</w:t>
      </w:r>
    </w:p>
    <w:p>
      <w:pPr>
        <w:pStyle w:val="ListParagraph"/>
        <w:numPr>
          <w:ilvl w:val="0"/>
          <w:numId w:val="2"/>
        </w:numPr>
        <w:spacing w:after="60" w:line="260"/>
      </w:pPr>
      <w:r>
        <w:rPr>
          <w:rFonts w:ascii="Calibri" w:cs="Calibri" w:eastAsia="Calibri" w:hAnsi="Calibri"/>
          <w:sz w:val="20"/>
          <w:szCs w:val="20"/>
        </w:rPr>
        <w:t xml:space="preserve">Préférence pour les expérimentations courtes (≤ 30 j).</w:t>
      </w:r>
    </w:p>
    <w:p>
      <w:pPr>
        <w:spacing w:after="100" w:before="220"/>
      </w:pPr>
      <w:r>
        <w:rPr>
          <w:rFonts w:ascii="Calibri" w:cs="Calibri" w:eastAsia="Calibri" w:hAnsi="Calibri"/>
          <w:b/>
          <w:bCs/>
          <w:color w:val="E87722"/>
          <w:sz w:val="22"/>
          <w:szCs w:val="22"/>
        </w:rPr>
        <w:t xml:space="preserve">3.3. Check — mesurer</w:t>
      </w:r>
    </w:p>
    <w:p>
      <w:pPr>
        <w:pStyle w:val="ListParagraph"/>
        <w:numPr>
          <w:ilvl w:val="0"/>
          <w:numId w:val="2"/>
        </w:numPr>
        <w:spacing w:after="60" w:line="260"/>
      </w:pPr>
      <w:r>
        <w:rPr>
          <w:rFonts w:ascii="Calibri" w:cs="Calibri" w:eastAsia="Calibri" w:hAnsi="Calibri"/>
          <w:sz w:val="20"/>
          <w:szCs w:val="20"/>
        </w:rPr>
        <w:t xml:space="preserve">Évaluation des résultats (qualitatif + quantitatif).</w:t>
      </w:r>
    </w:p>
    <w:p>
      <w:pPr>
        <w:pStyle w:val="ListParagraph"/>
        <w:numPr>
          <w:ilvl w:val="0"/>
          <w:numId w:val="2"/>
        </w:numPr>
        <w:spacing w:after="60" w:line="260"/>
      </w:pPr>
      <w:r>
        <w:rPr>
          <w:rFonts w:ascii="Calibri" w:cs="Calibri" w:eastAsia="Calibri" w:hAnsi="Calibri"/>
          <w:sz w:val="20"/>
          <w:szCs w:val="20"/>
        </w:rPr>
        <w:t xml:space="preserve">Comparaison avec l'objectif initial.</w:t>
      </w:r>
    </w:p>
    <w:p>
      <w:pPr>
        <w:pStyle w:val="ListParagraph"/>
        <w:numPr>
          <w:ilvl w:val="0"/>
          <w:numId w:val="2"/>
        </w:numPr>
        <w:spacing w:after="60" w:line="260"/>
      </w:pPr>
      <w:r>
        <w:rPr>
          <w:rFonts w:ascii="Calibri" w:cs="Calibri" w:eastAsia="Calibri" w:hAnsi="Calibri"/>
          <w:sz w:val="20"/>
          <w:szCs w:val="20"/>
        </w:rPr>
        <w:t xml:space="preserve">Identification des effets de bord.</w:t>
      </w:r>
    </w:p>
    <w:p>
      <w:pPr>
        <w:spacing w:after="100" w:before="220"/>
      </w:pPr>
      <w:r>
        <w:rPr>
          <w:rFonts w:ascii="Calibri" w:cs="Calibri" w:eastAsia="Calibri" w:hAnsi="Calibri"/>
          <w:b/>
          <w:bCs/>
          <w:color w:val="E87722"/>
          <w:sz w:val="22"/>
          <w:szCs w:val="22"/>
        </w:rPr>
        <w:t xml:space="preserve">3.4. Act — agir</w:t>
      </w:r>
    </w:p>
    <w:p>
      <w:pPr>
        <w:pStyle w:val="ListParagraph"/>
        <w:numPr>
          <w:ilvl w:val="0"/>
          <w:numId w:val="2"/>
        </w:numPr>
        <w:spacing w:after="60" w:line="260"/>
      </w:pPr>
      <w:r>
        <w:rPr>
          <w:rFonts w:ascii="Calibri" w:cs="Calibri" w:eastAsia="Calibri" w:hAnsi="Calibri"/>
          <w:sz w:val="20"/>
          <w:szCs w:val="20"/>
        </w:rPr>
        <w:t xml:space="preserve">Si succès : généralisation et capitalisation.</w:t>
      </w:r>
    </w:p>
    <w:p>
      <w:pPr>
        <w:pStyle w:val="ListParagraph"/>
        <w:numPr>
          <w:ilvl w:val="0"/>
          <w:numId w:val="2"/>
        </w:numPr>
        <w:spacing w:after="60" w:line="260"/>
      </w:pPr>
      <w:r>
        <w:rPr>
          <w:rFonts w:ascii="Calibri" w:cs="Calibri" w:eastAsia="Calibri" w:hAnsi="Calibri"/>
          <w:sz w:val="20"/>
          <w:szCs w:val="20"/>
        </w:rPr>
        <w:t xml:space="preserve">Si échec : compréhension de la cause + retour d'expérience.</w:t>
      </w:r>
    </w:p>
    <w:p>
      <w:pPr>
        <w:pStyle w:val="ListParagraph"/>
        <w:numPr>
          <w:ilvl w:val="0"/>
          <w:numId w:val="2"/>
        </w:numPr>
        <w:spacing w:after="60" w:line="260"/>
      </w:pPr>
      <w:r>
        <w:rPr>
          <w:rFonts w:ascii="Calibri" w:cs="Calibri" w:eastAsia="Calibri" w:hAnsi="Calibri"/>
          <w:sz w:val="20"/>
          <w:szCs w:val="20"/>
        </w:rPr>
        <w:t xml:space="preserve">Documentation du changement (cohérence Politique de gestion documentaire).</w:t>
      </w:r>
    </w:p>
    <w:p>
      <w:pPr>
        <w:spacing w:after="160" w:before="240"/>
      </w:pPr>
      <w:r>
        <w:rPr>
          <w:rFonts w:ascii="Calibri" w:cs="Calibri" w:eastAsia="Calibri" w:hAnsi="Calibri"/>
          <w:b/>
          <w:bCs/>
          <w:color w:val="1F4E79"/>
          <w:sz w:val="32"/>
          <w:szCs w:val="32"/>
        </w:rPr>
        <w:t xml:space="preserve">4. Méthodes pratiques</w:t>
      </w:r>
    </w:p>
    <w:p>
      <w:pPr>
        <w:spacing w:after="100" w:before="220"/>
      </w:pPr>
      <w:r>
        <w:rPr>
          <w:rFonts w:ascii="Calibri" w:cs="Calibri" w:eastAsia="Calibri" w:hAnsi="Calibri"/>
          <w:b/>
          <w:bCs/>
          <w:color w:val="E87722"/>
          <w:sz w:val="22"/>
          <w:szCs w:val="22"/>
        </w:rPr>
        <w:t xml:space="preserve">4.1. Post-mortem (après incident)</w:t>
      </w:r>
    </w:p>
    <w:p>
      <w:pPr>
        <w:pStyle w:val="ListParagraph"/>
        <w:numPr>
          <w:ilvl w:val="0"/>
          <w:numId w:val="2"/>
        </w:numPr>
        <w:spacing w:after="60" w:line="260"/>
      </w:pPr>
      <w:r>
        <w:rPr>
          <w:rFonts w:ascii="Calibri" w:cs="Calibri" w:eastAsia="Calibri" w:hAnsi="Calibri"/>
          <w:sz w:val="20"/>
          <w:szCs w:val="20"/>
        </w:rPr>
        <w:t xml:space="preserve">Réunion 60-90 min sous 7 jours après l'incident.</w:t>
      </w:r>
    </w:p>
    <w:p>
      <w:pPr>
        <w:pStyle w:val="ListParagraph"/>
        <w:numPr>
          <w:ilvl w:val="0"/>
          <w:numId w:val="2"/>
        </w:numPr>
        <w:spacing w:after="60" w:line="260"/>
      </w:pPr>
      <w:r>
        <w:rPr>
          <w:rFonts w:ascii="Calibri" w:cs="Calibri" w:eastAsia="Calibri" w:hAnsi="Calibri"/>
          <w:sz w:val="20"/>
          <w:szCs w:val="20"/>
        </w:rPr>
        <w:t xml:space="preserve">Format : qu'est-ce qui s'est passé ? pourquoi ? qu'apprend-on ? que change-t-on ?</w:t>
      </w:r>
    </w:p>
    <w:p>
      <w:pPr>
        <w:pStyle w:val="ListParagraph"/>
        <w:numPr>
          <w:ilvl w:val="0"/>
          <w:numId w:val="2"/>
        </w:numPr>
        <w:spacing w:after="60" w:line="260"/>
      </w:pPr>
      <w:r>
        <w:rPr>
          <w:rFonts w:ascii="Calibri" w:cs="Calibri" w:eastAsia="Calibri" w:hAnsi="Calibri"/>
          <w:sz w:val="20"/>
          <w:szCs w:val="20"/>
        </w:rPr>
        <w:t xml:space="preserve">Refus du blame, recherche de la cause racine.</w:t>
      </w:r>
    </w:p>
    <w:p>
      <w:pPr>
        <w:pStyle w:val="ListParagraph"/>
        <w:numPr>
          <w:ilvl w:val="0"/>
          <w:numId w:val="2"/>
        </w:numPr>
        <w:spacing w:after="60" w:line="260"/>
      </w:pPr>
      <w:r>
        <w:rPr>
          <w:rFonts w:ascii="Calibri" w:cs="Calibri" w:eastAsia="Calibri" w:hAnsi="Calibri"/>
          <w:sz w:val="20"/>
          <w:szCs w:val="20"/>
        </w:rPr>
        <w:t xml:space="preserve">Compte-rendu écrit partagé à l'équipe.</w:t>
      </w:r>
    </w:p>
    <w:p>
      <w:pPr>
        <w:pStyle w:val="ListParagraph"/>
        <w:numPr>
          <w:ilvl w:val="0"/>
          <w:numId w:val="2"/>
        </w:numPr>
        <w:spacing w:after="60" w:line="260"/>
      </w:pPr>
      <w:r>
        <w:rPr>
          <w:rFonts w:ascii="Calibri" w:cs="Calibri" w:eastAsia="Calibri" w:hAnsi="Calibri"/>
          <w:sz w:val="20"/>
          <w:szCs w:val="20"/>
        </w:rPr>
        <w:t xml:space="preserve">Plan d'actions concrètes.</w:t>
      </w:r>
    </w:p>
    <w:p>
      <w:pPr>
        <w:spacing w:after="100" w:before="220"/>
      </w:pPr>
      <w:r>
        <w:rPr>
          <w:rFonts w:ascii="Calibri" w:cs="Calibri" w:eastAsia="Calibri" w:hAnsi="Calibri"/>
          <w:b/>
          <w:bCs/>
          <w:color w:val="E87722"/>
          <w:sz w:val="22"/>
          <w:szCs w:val="22"/>
        </w:rPr>
        <w:t xml:space="preserve">4.2. REX (retour d'expérience) après projet</w:t>
      </w:r>
    </w:p>
    <w:p>
      <w:pPr>
        <w:pStyle w:val="ListParagraph"/>
        <w:numPr>
          <w:ilvl w:val="0"/>
          <w:numId w:val="2"/>
        </w:numPr>
        <w:spacing w:after="60" w:line="260"/>
      </w:pPr>
      <w:r>
        <w:rPr>
          <w:rFonts w:ascii="Calibri" w:cs="Calibri" w:eastAsia="Calibri" w:hAnsi="Calibri"/>
          <w:sz w:val="20"/>
          <w:szCs w:val="20"/>
        </w:rPr>
        <w:t xml:space="preserve">Réunion 60 min en fin de projet majeur.</w:t>
      </w:r>
    </w:p>
    <w:p>
      <w:pPr>
        <w:pStyle w:val="ListParagraph"/>
        <w:numPr>
          <w:ilvl w:val="0"/>
          <w:numId w:val="2"/>
        </w:numPr>
        <w:spacing w:after="60" w:line="260"/>
      </w:pPr>
      <w:r>
        <w:rPr>
          <w:rFonts w:ascii="Calibri" w:cs="Calibri" w:eastAsia="Calibri" w:hAnsi="Calibri"/>
          <w:sz w:val="20"/>
          <w:szCs w:val="20"/>
        </w:rPr>
        <w:t xml:space="preserve">Format : 3 succès, 3 axes d'amélioration, 3 enseignements clés.</w:t>
      </w:r>
    </w:p>
    <w:p>
      <w:pPr>
        <w:pStyle w:val="ListParagraph"/>
        <w:numPr>
          <w:ilvl w:val="0"/>
          <w:numId w:val="2"/>
        </w:numPr>
        <w:spacing w:after="60" w:line="260"/>
      </w:pPr>
      <w:r>
        <w:rPr>
          <w:rFonts w:ascii="Calibri" w:cs="Calibri" w:eastAsia="Calibri" w:hAnsi="Calibri"/>
          <w:sz w:val="20"/>
          <w:szCs w:val="20"/>
        </w:rPr>
        <w:t xml:space="preserve">Compte-rendu écrit partagé.</w:t>
      </w:r>
    </w:p>
    <w:p>
      <w:pPr>
        <w:spacing w:after="100" w:before="220"/>
      </w:pPr>
      <w:r>
        <w:rPr>
          <w:rFonts w:ascii="Calibri" w:cs="Calibri" w:eastAsia="Calibri" w:hAnsi="Calibri"/>
          <w:b/>
          <w:bCs/>
          <w:color w:val="E87722"/>
          <w:sz w:val="22"/>
          <w:szCs w:val="22"/>
        </w:rPr>
        <w:t xml:space="preserve">4.3. Idées d'amélioration</w:t>
      </w:r>
    </w:p>
    <w:p>
      <w:pPr>
        <w:pStyle w:val="ListParagraph"/>
        <w:numPr>
          <w:ilvl w:val="0"/>
          <w:numId w:val="2"/>
        </w:numPr>
        <w:spacing w:after="60" w:line="260"/>
      </w:pPr>
      <w:r>
        <w:rPr>
          <w:rFonts w:ascii="Calibri" w:cs="Calibri" w:eastAsia="Calibri" w:hAnsi="Calibri"/>
          <w:sz w:val="20"/>
          <w:szCs w:val="20"/>
        </w:rPr>
        <w:t xml:space="preserve">Boîte mail idees@eventylife.fr.</w:t>
      </w:r>
    </w:p>
    <w:p>
      <w:pPr>
        <w:pStyle w:val="ListParagraph"/>
        <w:numPr>
          <w:ilvl w:val="0"/>
          <w:numId w:val="2"/>
        </w:numPr>
        <w:spacing w:after="60" w:line="260"/>
      </w:pPr>
      <w:r>
        <w:rPr>
          <w:rFonts w:ascii="Calibri" w:cs="Calibri" w:eastAsia="Calibri" w:hAnsi="Calibri"/>
          <w:sz w:val="20"/>
          <w:szCs w:val="20"/>
        </w:rPr>
        <w:t xml:space="preserve">Examen mensuel des idées par le Président.</w:t>
      </w:r>
    </w:p>
    <w:p>
      <w:pPr>
        <w:pStyle w:val="ListParagraph"/>
        <w:numPr>
          <w:ilvl w:val="0"/>
          <w:numId w:val="2"/>
        </w:numPr>
        <w:spacing w:after="60" w:line="260"/>
      </w:pPr>
      <w:r>
        <w:rPr>
          <w:rFonts w:ascii="Calibri" w:cs="Calibri" w:eastAsia="Calibri" w:hAnsi="Calibri"/>
          <w:sz w:val="20"/>
          <w:szCs w:val="20"/>
        </w:rPr>
        <w:t xml:space="preserve">Réponse personnalisée à chaque idée (acceptée, en étude, refusée).</w:t>
      </w:r>
    </w:p>
    <w:p>
      <w:pPr>
        <w:pStyle w:val="ListParagraph"/>
        <w:numPr>
          <w:ilvl w:val="0"/>
          <w:numId w:val="2"/>
        </w:numPr>
        <w:spacing w:after="60" w:line="260"/>
      </w:pPr>
      <w:r>
        <w:rPr>
          <w:rFonts w:ascii="Calibri" w:cs="Calibri" w:eastAsia="Calibri" w:hAnsi="Calibri"/>
          <w:sz w:val="20"/>
          <w:szCs w:val="20"/>
        </w:rPr>
        <w:t xml:space="preserve">Reconnaissance publique des idées implementées (avec accord).</w:t>
      </w:r>
    </w:p>
    <w:p>
      <w:pPr>
        <w:spacing w:after="100" w:before="220"/>
      </w:pPr>
      <w:r>
        <w:rPr>
          <w:rFonts w:ascii="Calibri" w:cs="Calibri" w:eastAsia="Calibri" w:hAnsi="Calibri"/>
          <w:b/>
          <w:bCs/>
          <w:color w:val="E87722"/>
          <w:sz w:val="22"/>
          <w:szCs w:val="22"/>
        </w:rPr>
        <w:t xml:space="preserve">4.4. Sondages voyageurs</w:t>
      </w:r>
    </w:p>
    <w:p>
      <w:pPr>
        <w:pStyle w:val="ListParagraph"/>
        <w:numPr>
          <w:ilvl w:val="0"/>
          <w:numId w:val="2"/>
        </w:numPr>
        <w:spacing w:after="60" w:line="260"/>
      </w:pPr>
      <w:r>
        <w:rPr>
          <w:rFonts w:ascii="Calibri" w:cs="Calibri" w:eastAsia="Calibri" w:hAnsi="Calibri"/>
          <w:sz w:val="20"/>
          <w:szCs w:val="20"/>
        </w:rPr>
        <w:t xml:space="preserve">NPS post-voyage systématique.</w:t>
      </w:r>
    </w:p>
    <w:p>
      <w:pPr>
        <w:pStyle w:val="ListParagraph"/>
        <w:numPr>
          <w:ilvl w:val="0"/>
          <w:numId w:val="2"/>
        </w:numPr>
        <w:spacing w:after="60" w:line="260"/>
      </w:pPr>
      <w:r>
        <w:rPr>
          <w:rFonts w:ascii="Calibri" w:cs="Calibri" w:eastAsia="Calibri" w:hAnsi="Calibri"/>
          <w:sz w:val="20"/>
          <w:szCs w:val="20"/>
        </w:rPr>
        <w:t xml:space="preserve">Sondage trimestriel Famille (cohérence Programme de fidélisation).</w:t>
      </w:r>
    </w:p>
    <w:p>
      <w:pPr>
        <w:pStyle w:val="ListParagraph"/>
        <w:numPr>
          <w:ilvl w:val="0"/>
          <w:numId w:val="2"/>
        </w:numPr>
        <w:spacing w:after="60" w:line="260"/>
      </w:pPr>
      <w:r>
        <w:rPr>
          <w:rFonts w:ascii="Calibri" w:cs="Calibri" w:eastAsia="Calibri" w:hAnsi="Calibri"/>
          <w:sz w:val="20"/>
          <w:szCs w:val="20"/>
        </w:rPr>
        <w:t xml:space="preserve">Étude annuelle approfondie (cohérence Plan d'études et veille marché).</w:t>
      </w:r>
    </w:p>
    <w:p>
      <w:pPr>
        <w:spacing w:after="160" w:before="240"/>
      </w:pPr>
      <w:r>
        <w:rPr>
          <w:rFonts w:ascii="Calibri" w:cs="Calibri" w:eastAsia="Calibri" w:hAnsi="Calibri"/>
          <w:b/>
          <w:bCs/>
          <w:color w:val="1F4E79"/>
          <w:sz w:val="32"/>
          <w:szCs w:val="32"/>
        </w:rPr>
        <w:t xml:space="preserve">5. Catégories d'améliorations</w:t>
      </w:r>
    </w:p>
    <w:p>
      <w:pPr>
        <w:spacing w:after="100" w:before="220"/>
      </w:pPr>
      <w:r>
        <w:rPr>
          <w:rFonts w:ascii="Calibri" w:cs="Calibri" w:eastAsia="Calibri" w:hAnsi="Calibri"/>
          <w:b/>
          <w:bCs/>
          <w:color w:val="E87722"/>
          <w:sz w:val="22"/>
          <w:szCs w:val="22"/>
        </w:rPr>
        <w:t xml:space="preserve">5.1. Améliorations opérationnelles</w:t>
      </w:r>
    </w:p>
    <w:p>
      <w:pPr>
        <w:pStyle w:val="ListParagraph"/>
        <w:numPr>
          <w:ilvl w:val="0"/>
          <w:numId w:val="2"/>
        </w:numPr>
        <w:spacing w:after="60" w:line="260"/>
      </w:pPr>
      <w:r>
        <w:rPr>
          <w:rFonts w:ascii="Calibri" w:cs="Calibri" w:eastAsia="Calibri" w:hAnsi="Calibri"/>
          <w:sz w:val="20"/>
          <w:szCs w:val="20"/>
        </w:rPr>
        <w:t xml:space="preserve">Procédures (Manuel des opérations, audit qualité HRA, etc.).</w:t>
      </w:r>
    </w:p>
    <w:p>
      <w:pPr>
        <w:pStyle w:val="ListParagraph"/>
        <w:numPr>
          <w:ilvl w:val="0"/>
          <w:numId w:val="2"/>
        </w:numPr>
        <w:spacing w:after="60" w:line="260"/>
      </w:pPr>
      <w:r>
        <w:rPr>
          <w:rFonts w:ascii="Calibri" w:cs="Calibri" w:eastAsia="Calibri" w:hAnsi="Calibri"/>
          <w:sz w:val="20"/>
          <w:szCs w:val="20"/>
        </w:rPr>
        <w:t xml:space="preserve">Outils internes.</w:t>
      </w:r>
    </w:p>
    <w:p>
      <w:pPr>
        <w:pStyle w:val="ListParagraph"/>
        <w:numPr>
          <w:ilvl w:val="0"/>
          <w:numId w:val="2"/>
        </w:numPr>
        <w:spacing w:after="60" w:line="260"/>
      </w:pPr>
      <w:r>
        <w:rPr>
          <w:rFonts w:ascii="Calibri" w:cs="Calibri" w:eastAsia="Calibri" w:hAnsi="Calibri"/>
          <w:sz w:val="20"/>
          <w:szCs w:val="20"/>
        </w:rPr>
        <w:t xml:space="preserve">Formation équipe.</w:t>
      </w:r>
    </w:p>
    <w:p>
      <w:pPr>
        <w:spacing w:after="100" w:before="220"/>
      </w:pPr>
      <w:r>
        <w:rPr>
          <w:rFonts w:ascii="Calibri" w:cs="Calibri" w:eastAsia="Calibri" w:hAnsi="Calibri"/>
          <w:b/>
          <w:bCs/>
          <w:color w:val="E87722"/>
          <w:sz w:val="22"/>
          <w:szCs w:val="22"/>
        </w:rPr>
        <w:t xml:space="preserve">5.2. Améliorations produit</w:t>
      </w:r>
    </w:p>
    <w:p>
      <w:pPr>
        <w:pStyle w:val="ListParagraph"/>
        <w:numPr>
          <w:ilvl w:val="0"/>
          <w:numId w:val="2"/>
        </w:numPr>
        <w:spacing w:after="60" w:line="260"/>
      </w:pPr>
      <w:r>
        <w:rPr>
          <w:rFonts w:ascii="Calibri" w:cs="Calibri" w:eastAsia="Calibri" w:hAnsi="Calibri"/>
          <w:sz w:val="20"/>
          <w:szCs w:val="20"/>
        </w:rPr>
        <w:t xml:space="preserve">Plateforme web (cohérence Roadmap technique).</w:t>
      </w:r>
    </w:p>
    <w:p>
      <w:pPr>
        <w:pStyle w:val="ListParagraph"/>
        <w:numPr>
          <w:ilvl w:val="0"/>
          <w:numId w:val="2"/>
        </w:numPr>
        <w:spacing w:after="60" w:line="260"/>
      </w:pPr>
      <w:r>
        <w:rPr>
          <w:rFonts w:ascii="Calibri" w:cs="Calibri" w:eastAsia="Calibri" w:hAnsi="Calibri"/>
          <w:sz w:val="20"/>
          <w:szCs w:val="20"/>
        </w:rPr>
        <w:t xml:space="preserve">Catalogue voyages.</w:t>
      </w:r>
    </w:p>
    <w:p>
      <w:pPr>
        <w:pStyle w:val="ListParagraph"/>
        <w:numPr>
          <w:ilvl w:val="0"/>
          <w:numId w:val="2"/>
        </w:numPr>
        <w:spacing w:after="60" w:line="260"/>
      </w:pPr>
      <w:r>
        <w:rPr>
          <w:rFonts w:ascii="Calibri" w:cs="Calibri" w:eastAsia="Calibri" w:hAnsi="Calibri"/>
          <w:sz w:val="20"/>
          <w:szCs w:val="20"/>
        </w:rPr>
        <w:t xml:space="preserve">Pack Sérénité.</w:t>
      </w:r>
    </w:p>
    <w:p>
      <w:pPr>
        <w:pStyle w:val="ListParagraph"/>
        <w:numPr>
          <w:ilvl w:val="0"/>
          <w:numId w:val="2"/>
        </w:numPr>
        <w:spacing w:after="60" w:line="260"/>
      </w:pPr>
      <w:r>
        <w:rPr>
          <w:rFonts w:ascii="Calibri" w:cs="Calibri" w:eastAsia="Calibri" w:hAnsi="Calibri"/>
          <w:sz w:val="20"/>
          <w:szCs w:val="20"/>
        </w:rPr>
        <w:t xml:space="preserve">Programme Eventy Famille.</w:t>
      </w:r>
    </w:p>
    <w:p>
      <w:pPr>
        <w:spacing w:after="100" w:before="220"/>
      </w:pPr>
      <w:r>
        <w:rPr>
          <w:rFonts w:ascii="Calibri" w:cs="Calibri" w:eastAsia="Calibri" w:hAnsi="Calibri"/>
          <w:b/>
          <w:bCs/>
          <w:color w:val="E87722"/>
          <w:sz w:val="22"/>
          <w:szCs w:val="22"/>
        </w:rPr>
        <w:t xml:space="preserve">5.3. Améliorations relationnelles</w:t>
      </w:r>
    </w:p>
    <w:p>
      <w:pPr>
        <w:pStyle w:val="ListParagraph"/>
        <w:numPr>
          <w:ilvl w:val="0"/>
          <w:numId w:val="2"/>
        </w:numPr>
        <w:spacing w:after="60" w:line="260"/>
      </w:pPr>
      <w:r>
        <w:rPr>
          <w:rFonts w:ascii="Calibri" w:cs="Calibri" w:eastAsia="Calibri" w:hAnsi="Calibri"/>
          <w:sz w:val="20"/>
          <w:szCs w:val="20"/>
        </w:rPr>
        <w:t xml:space="preserve">Communication équipe (cohérence Plan de communication interne).</w:t>
      </w:r>
    </w:p>
    <w:p>
      <w:pPr>
        <w:pStyle w:val="ListParagraph"/>
        <w:numPr>
          <w:ilvl w:val="0"/>
          <w:numId w:val="2"/>
        </w:numPr>
        <w:spacing w:after="60" w:line="260"/>
      </w:pPr>
      <w:r>
        <w:rPr>
          <w:rFonts w:ascii="Calibri" w:cs="Calibri" w:eastAsia="Calibri" w:hAnsi="Calibri"/>
          <w:sz w:val="20"/>
          <w:szCs w:val="20"/>
        </w:rPr>
        <w:t xml:space="preserve">Communication voyageurs.</w:t>
      </w:r>
    </w:p>
    <w:p>
      <w:pPr>
        <w:pStyle w:val="ListParagraph"/>
        <w:numPr>
          <w:ilvl w:val="0"/>
          <w:numId w:val="2"/>
        </w:numPr>
        <w:spacing w:after="60" w:line="260"/>
      </w:pPr>
      <w:r>
        <w:rPr>
          <w:rFonts w:ascii="Calibri" w:cs="Calibri" w:eastAsia="Calibri" w:hAnsi="Calibri"/>
          <w:sz w:val="20"/>
          <w:szCs w:val="20"/>
        </w:rPr>
        <w:t xml:space="preserve">Relations partenaires.</w:t>
      </w:r>
    </w:p>
    <w:p>
      <w:pPr>
        <w:spacing w:after="100" w:before="220"/>
      </w:pPr>
      <w:r>
        <w:rPr>
          <w:rFonts w:ascii="Calibri" w:cs="Calibri" w:eastAsia="Calibri" w:hAnsi="Calibri"/>
          <w:b/>
          <w:bCs/>
          <w:color w:val="E87722"/>
          <w:sz w:val="22"/>
          <w:szCs w:val="22"/>
        </w:rPr>
        <w:t xml:space="preserve">5.4. Améliorations stratégiques</w:t>
      </w:r>
    </w:p>
    <w:p>
      <w:pPr>
        <w:pStyle w:val="ListParagraph"/>
        <w:numPr>
          <w:ilvl w:val="0"/>
          <w:numId w:val="2"/>
        </w:numPr>
        <w:spacing w:after="60" w:line="260"/>
      </w:pPr>
      <w:r>
        <w:rPr>
          <w:rFonts w:ascii="Calibri" w:cs="Calibri" w:eastAsia="Calibri" w:hAnsi="Calibri"/>
          <w:sz w:val="20"/>
          <w:szCs w:val="20"/>
        </w:rPr>
        <w:t xml:space="preserve">Validation et intégration au Plan stratégique 5 ans (cohérence).</w:t>
      </w:r>
    </w:p>
    <w:p>
      <w:pPr>
        <w:pStyle w:val="ListParagraph"/>
        <w:numPr>
          <w:ilvl w:val="0"/>
          <w:numId w:val="2"/>
        </w:numPr>
        <w:spacing w:after="60" w:line="260"/>
      </w:pPr>
      <w:r>
        <w:rPr>
          <w:rFonts w:ascii="Calibri" w:cs="Calibri" w:eastAsia="Calibri" w:hAnsi="Calibri"/>
          <w:sz w:val="20"/>
          <w:szCs w:val="20"/>
        </w:rPr>
        <w:t xml:space="preserve">Soumission aux associés si engagement majeur.</w:t>
      </w:r>
    </w:p>
    <w:p>
      <w:pPr>
        <w:spacing w:after="160" w:before="240"/>
      </w:pPr>
      <w:r>
        <w:rPr>
          <w:rFonts w:ascii="Calibri" w:cs="Calibri" w:eastAsia="Calibri" w:hAnsi="Calibri"/>
          <w:b/>
          <w:bCs/>
          <w:color w:val="1F4E79"/>
          <w:sz w:val="32"/>
          <w:szCs w:val="32"/>
        </w:rPr>
        <w:t xml:space="preserve">6. Documentation des améliorations</w:t>
      </w:r>
    </w:p>
    <w:p>
      <w:pPr>
        <w:spacing w:after="100" w:before="220"/>
      </w:pPr>
      <w:r>
        <w:rPr>
          <w:rFonts w:ascii="Calibri" w:cs="Calibri" w:eastAsia="Calibri" w:hAnsi="Calibri"/>
          <w:b/>
          <w:bCs/>
          <w:color w:val="E87722"/>
          <w:sz w:val="22"/>
          <w:szCs w:val="22"/>
        </w:rPr>
        <w:t xml:space="preserve">6.1. Registre des améliorations</w:t>
      </w:r>
    </w:p>
    <w:p>
      <w:pPr>
        <w:pStyle w:val="ListParagraph"/>
        <w:numPr>
          <w:ilvl w:val="0"/>
          <w:numId w:val="2"/>
        </w:numPr>
        <w:spacing w:after="60" w:line="260"/>
      </w:pPr>
      <w:r>
        <w:rPr>
          <w:rFonts w:ascii="Calibri" w:cs="Calibri" w:eastAsia="Calibri" w:hAnsi="Calibri"/>
          <w:sz w:val="20"/>
          <w:szCs w:val="20"/>
        </w:rPr>
        <w:t xml:space="preserve">Toutes les améliorations majeures documentées dans un registre central.</w:t>
      </w:r>
    </w:p>
    <w:p>
      <w:pPr>
        <w:pStyle w:val="ListParagraph"/>
        <w:numPr>
          <w:ilvl w:val="0"/>
          <w:numId w:val="2"/>
        </w:numPr>
        <w:spacing w:after="60" w:line="260"/>
      </w:pPr>
      <w:r>
        <w:rPr>
          <w:rFonts w:ascii="Calibri" w:cs="Calibri" w:eastAsia="Calibri" w:hAnsi="Calibri"/>
          <w:sz w:val="20"/>
          <w:szCs w:val="20"/>
        </w:rPr>
        <w:t xml:space="preserve">Format : date, source (incident/idée/audit), action, responsable, échéance, statut.</w:t>
      </w:r>
    </w:p>
    <w:p>
      <w:pPr>
        <w:pStyle w:val="ListParagraph"/>
        <w:numPr>
          <w:ilvl w:val="0"/>
          <w:numId w:val="2"/>
        </w:numPr>
        <w:spacing w:after="60" w:line="260"/>
      </w:pPr>
      <w:r>
        <w:rPr>
          <w:rFonts w:ascii="Calibri" w:cs="Calibri" w:eastAsia="Calibri" w:hAnsi="Calibri"/>
          <w:sz w:val="20"/>
          <w:szCs w:val="20"/>
        </w:rPr>
        <w:t xml:space="preserve">Cohérence avec Politique de gestion documentaire.</w:t>
      </w:r>
    </w:p>
    <w:p>
      <w:pPr>
        <w:spacing w:after="100" w:before="220"/>
      </w:pPr>
      <w:r>
        <w:rPr>
          <w:rFonts w:ascii="Calibri" w:cs="Calibri" w:eastAsia="Calibri" w:hAnsi="Calibri"/>
          <w:b/>
          <w:bCs/>
          <w:color w:val="E87722"/>
          <w:sz w:val="22"/>
          <w:szCs w:val="22"/>
        </w:rPr>
        <w:t xml:space="preserve">6.2. Mise à jour des procédures</w:t>
      </w:r>
    </w:p>
    <w:p>
      <w:pPr>
        <w:pStyle w:val="ListParagraph"/>
        <w:numPr>
          <w:ilvl w:val="0"/>
          <w:numId w:val="2"/>
        </w:numPr>
        <w:spacing w:after="60" w:line="260"/>
      </w:pPr>
      <w:r>
        <w:rPr>
          <w:rFonts w:ascii="Calibri" w:cs="Calibri" w:eastAsia="Calibri" w:hAnsi="Calibri"/>
          <w:sz w:val="20"/>
          <w:szCs w:val="20"/>
        </w:rPr>
        <w:t xml:space="preserve">Toute amélioration impactant une procédure entraîne sa mise à jour.</w:t>
      </w:r>
    </w:p>
    <w:p>
      <w:pPr>
        <w:pStyle w:val="ListParagraph"/>
        <w:numPr>
          <w:ilvl w:val="0"/>
          <w:numId w:val="2"/>
        </w:numPr>
        <w:spacing w:after="60" w:line="260"/>
      </w:pPr>
      <w:r>
        <w:rPr>
          <w:rFonts w:ascii="Calibri" w:cs="Calibri" w:eastAsia="Calibri" w:hAnsi="Calibri"/>
          <w:sz w:val="20"/>
          <w:szCs w:val="20"/>
        </w:rPr>
        <w:t xml:space="preserve">Versioning systématique.</w:t>
      </w:r>
    </w:p>
    <w:p>
      <w:pPr>
        <w:pStyle w:val="ListParagraph"/>
        <w:numPr>
          <w:ilvl w:val="0"/>
          <w:numId w:val="2"/>
        </w:numPr>
        <w:spacing w:after="60" w:line="260"/>
      </w:pPr>
      <w:r>
        <w:rPr>
          <w:rFonts w:ascii="Calibri" w:cs="Calibri" w:eastAsia="Calibri" w:hAnsi="Calibri"/>
          <w:sz w:val="20"/>
          <w:szCs w:val="20"/>
        </w:rPr>
        <w:t xml:space="preserve">Communication équipe et partenaires concernés.</w:t>
      </w:r>
    </w:p>
    <w:p>
      <w:pPr>
        <w:spacing w:after="160" w:before="240"/>
      </w:pPr>
      <w:r>
        <w:rPr>
          <w:rFonts w:ascii="Calibri" w:cs="Calibri" w:eastAsia="Calibri" w:hAnsi="Calibri"/>
          <w:b/>
          <w:bCs/>
          <w:color w:val="1F4E79"/>
          <w:sz w:val="32"/>
          <w:szCs w:val="32"/>
        </w:rPr>
        <w:t xml:space="preserve">7. Reconnaissance et culture</w:t>
      </w:r>
    </w:p>
    <w:p>
      <w:pPr>
        <w:pStyle w:val="ListParagraph"/>
        <w:numPr>
          <w:ilvl w:val="0"/>
          <w:numId w:val="2"/>
        </w:numPr>
        <w:spacing w:after="60" w:line="260"/>
      </w:pPr>
      <w:r>
        <w:rPr>
          <w:rFonts w:ascii="Calibri" w:cs="Calibri" w:eastAsia="Calibri" w:hAnsi="Calibri"/>
          <w:sz w:val="20"/>
          <w:szCs w:val="20"/>
        </w:rPr>
        <w:t xml:space="preserve">Reconnaissance publique des contributions à l'amélioration (avec accord).</w:t>
      </w:r>
    </w:p>
    <w:p>
      <w:pPr>
        <w:pStyle w:val="ListParagraph"/>
        <w:numPr>
          <w:ilvl w:val="0"/>
          <w:numId w:val="2"/>
        </w:numPr>
        <w:spacing w:after="60" w:line="260"/>
      </w:pPr>
      <w:r>
        <w:rPr>
          <w:rFonts w:ascii="Calibri" w:cs="Calibri" w:eastAsia="Calibri" w:hAnsi="Calibri"/>
          <w:sz w:val="20"/>
          <w:szCs w:val="20"/>
        </w:rPr>
        <w:t xml:space="preserve">Mention dans la newsletter interne mensuelle.</w:t>
      </w:r>
    </w:p>
    <w:p>
      <w:pPr>
        <w:pStyle w:val="ListParagraph"/>
        <w:numPr>
          <w:ilvl w:val="0"/>
          <w:numId w:val="2"/>
        </w:numPr>
        <w:spacing w:after="60" w:line="260"/>
      </w:pPr>
      <w:r>
        <w:rPr>
          <w:rFonts w:ascii="Calibri" w:cs="Calibri" w:eastAsia="Calibri" w:hAnsi="Calibri"/>
          <w:sz w:val="20"/>
          <w:szCs w:val="20"/>
        </w:rPr>
        <w:t xml:space="preserve">Pas de prime financière directe (refus de l'incentive court-termiste).</w:t>
      </w:r>
    </w:p>
    <w:p>
      <w:pPr>
        <w:pStyle w:val="ListParagraph"/>
        <w:numPr>
          <w:ilvl w:val="0"/>
          <w:numId w:val="2"/>
        </w:numPr>
        <w:spacing w:after="60" w:line="260"/>
      </w:pPr>
      <w:r>
        <w:rPr>
          <w:rFonts w:ascii="Calibri" w:cs="Calibri" w:eastAsia="Calibri" w:hAnsi="Calibri"/>
          <w:sz w:val="20"/>
          <w:szCs w:val="20"/>
        </w:rPr>
        <w:t xml:space="preserve">Reconnaissance dans l'entretien annuel (cohérence Modèle d'entretien annuel).</w:t>
      </w:r>
    </w:p>
    <w:p>
      <w:pPr>
        <w:spacing w:after="160" w:before="240"/>
      </w:pPr>
      <w:r>
        <w:rPr>
          <w:rFonts w:ascii="Calibri" w:cs="Calibri" w:eastAsia="Calibri" w:hAnsi="Calibri"/>
          <w:b/>
          <w:bCs/>
          <w:color w:val="1F4E79"/>
          <w:sz w:val="32"/>
          <w:szCs w:val="32"/>
        </w:rPr>
        <w:t xml:space="preserve">8.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Idées équipe collectées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Idées implementées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Post-mortems documentés (incidents)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post-mortem</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 j</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j</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Mise à jour procédures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interne progression annuelle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points/an</w:t>
            </w:r>
          </w:p>
        </w:tc>
      </w:tr>
    </w:tbl>
    <w:p>
      <w:pPr>
        <w:spacing w:after="160" w:before="240"/>
      </w:pPr>
      <w:r>
        <w:rPr>
          <w:rFonts w:ascii="Calibri" w:cs="Calibri" w:eastAsia="Calibri" w:hAnsi="Calibri"/>
          <w:b/>
          <w:bCs/>
          <w:color w:val="1F4E79"/>
          <w:sz w:val="32"/>
          <w:szCs w:val="32"/>
        </w:rPr>
        <w:t xml:space="preserve">9. Engagements éthiques</w:t>
      </w:r>
    </w:p>
    <w:p>
      <w:pPr>
        <w:pStyle w:val="ListParagraph"/>
        <w:numPr>
          <w:ilvl w:val="0"/>
          <w:numId w:val="2"/>
        </w:numPr>
        <w:spacing w:after="60" w:line="260"/>
      </w:pPr>
      <w:r>
        <w:rPr>
          <w:rFonts w:ascii="Calibri" w:cs="Calibri" w:eastAsia="Calibri" w:hAnsi="Calibri"/>
          <w:sz w:val="20"/>
          <w:szCs w:val="20"/>
        </w:rPr>
        <w:t xml:space="preserve">Refus de la culture du blame.</w:t>
      </w:r>
    </w:p>
    <w:p>
      <w:pPr>
        <w:pStyle w:val="ListParagraph"/>
        <w:numPr>
          <w:ilvl w:val="0"/>
          <w:numId w:val="2"/>
        </w:numPr>
        <w:spacing w:after="60" w:line="260"/>
      </w:pPr>
      <w:r>
        <w:rPr>
          <w:rFonts w:ascii="Calibri" w:cs="Calibri" w:eastAsia="Calibri" w:hAnsi="Calibri"/>
          <w:sz w:val="20"/>
          <w:szCs w:val="20"/>
        </w:rPr>
        <w:t xml:space="preserve">Refus du double standard (pas exiger de l'équipe ce que la direction ne fait pas).</w:t>
      </w:r>
    </w:p>
    <w:p>
      <w:pPr>
        <w:pStyle w:val="ListParagraph"/>
        <w:numPr>
          <w:ilvl w:val="0"/>
          <w:numId w:val="2"/>
        </w:numPr>
        <w:spacing w:after="60" w:line="260"/>
      </w:pPr>
      <w:r>
        <w:rPr>
          <w:rFonts w:ascii="Calibri" w:cs="Calibri" w:eastAsia="Calibri" w:hAnsi="Calibri"/>
          <w:sz w:val="20"/>
          <w:szCs w:val="20"/>
        </w:rPr>
        <w:t xml:space="preserve">Confidentialité des sources d'idées et de signalements.</w:t>
      </w:r>
    </w:p>
    <w:p>
      <w:pPr>
        <w:pStyle w:val="ListParagraph"/>
        <w:numPr>
          <w:ilvl w:val="0"/>
          <w:numId w:val="2"/>
        </w:numPr>
        <w:spacing w:after="60" w:line="260"/>
      </w:pPr>
      <w:r>
        <w:rPr>
          <w:rFonts w:ascii="Calibri" w:cs="Calibri" w:eastAsia="Calibri" w:hAnsi="Calibri"/>
          <w:sz w:val="20"/>
          <w:szCs w:val="20"/>
        </w:rPr>
        <w:t xml:space="preserve">Reconnaissance des erreurs au plus haut niveau (Président).</w:t>
      </w:r>
    </w:p>
    <w:p>
      <w:pPr>
        <w:pStyle w:val="ListParagraph"/>
        <w:numPr>
          <w:ilvl w:val="0"/>
          <w:numId w:val="2"/>
        </w:numPr>
        <w:spacing w:after="60" w:line="260"/>
      </w:pPr>
      <w:r>
        <w:rPr>
          <w:rFonts w:ascii="Calibri" w:cs="Calibri" w:eastAsia="Calibri" w:hAnsi="Calibri"/>
          <w:sz w:val="20"/>
          <w:szCs w:val="20"/>
        </w:rPr>
        <w:t xml:space="preserve">Engagement à publier publiquement les enseignements majeurs (transparence).</w:t>
      </w:r>
    </w:p>
    <w:p>
      <w:pPr>
        <w:pStyle w:val="ListParagraph"/>
        <w:numPr>
          <w:ilvl w:val="0"/>
          <w:numId w:val="2"/>
        </w:numPr>
        <w:spacing w:after="60" w:line="260"/>
      </w:pPr>
      <w:r>
        <w:rPr>
          <w:rFonts w:ascii="Calibri" w:cs="Calibri" w:eastAsia="Calibri" w:hAnsi="Calibri"/>
          <w:sz w:val="20"/>
          <w:szCs w:val="20"/>
        </w:rPr>
        <w:t xml:space="preserve">Refus des audits punitifs.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Manuel d'incident voyage, Procédure de réclamation détaillée, Plan d'audit interne, Procédure de signalement, Plan de communication interne, Politique avis voyageurs, Politique de gestion documentaire, Modèle d'entretien annuel, Tableau de bord opérationnel, Plan stratégique 5 ans.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Procédure d'amélioration continue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Procédure d'amélioration continue</dc:title>
  <dc:creator>David Eventy — Eventy Life SAS</dc:creator>
  <dc:description>Méthodologie de retour d'expérience et culture d'apprentissage.</dc:description>
  <cp:lastModifiedBy>Un-named</cp:lastModifiedBy>
  <cp:revision>1</cp:revision>
  <dcterms:created xsi:type="dcterms:W3CDTF">2026-05-02T03:52:29.869Z</dcterms:created>
  <dcterms:modified xsi:type="dcterms:W3CDTF">2026-05-02T03:52:29.869Z</dcterms:modified>
</cp:coreProperties>
</file>

<file path=docProps/custom.xml><?xml version="1.0" encoding="utf-8"?>
<Properties xmlns="http://schemas.openxmlformats.org/officeDocument/2006/custom-properties" xmlns:vt="http://schemas.openxmlformats.org/officeDocument/2006/docPropsVTypes"/>
</file>