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DOCUMENT DE RÉFÉRENCE — BANQUE DOMICILIATAIRE</w:t>
            </w:r>
          </w:p>
          <w:p>
            <w:pPr>
              <w:spacing w:after="0"/>
              <w:jc w:val="center"/>
            </w:pPr>
            <w:r>
              <w:rPr>
                <w:rFonts w:ascii="Calibri" w:cs="Calibri" w:eastAsia="Calibri" w:hAnsi="Calibri"/>
                <w:i/>
                <w:iCs/>
                <w:color w:val="1F4E79"/>
                <w:sz w:val="18"/>
                <w:szCs w:val="18"/>
              </w:rPr>
              <w:t xml:space="preserve">Préparation à l'ouverture des comptes professionnels Eventy Life · J0 → J+60</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document a été rédigé à l'attention de la banque pressentie comme domiciliataire des comptes professionnels d'EVENTY LIFE SAS. Il synthétise l'identité de la société, son modèle économique, ses besoins bancaires précis et les flux financiers attendus, afin de faciliter l'instruction du dossier d'ouverture et la mise en place des comptes (compte d'exploitation + compte cantonné).</w:t>
      </w:r>
    </w:p>
    <w:p>
      <w:pPr>
        <w:spacing w:after="160" w:before="240"/>
      </w:pPr>
      <w:r>
        <w:rPr>
          <w:rFonts w:ascii="Calibri" w:cs="Calibri" w:eastAsia="Calibri" w:hAnsi="Calibri"/>
          <w:b/>
          <w:bCs/>
          <w:color w:val="1F4E79"/>
          <w:sz w:val="32"/>
          <w:szCs w:val="32"/>
        </w:rPr>
        <w:t xml:space="preserve">1. Identité de la société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Élément</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Information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Dénomination sociale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 LIFE — Société par Actions Simplifiée (SAS)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Statut</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 cours de création / récemment immatriculée au RCS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SIREN / SIRET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attribuer]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Code NAF / APE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7912Z — Activités des voyagistes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Capital social initial</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3 000 € (intégralement libéré)</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Représentant légal</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 David Eventy, Président, Fondateur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du siège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complète à confirmer post-immatriculation]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Adresse électronique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eventylife@gmail.com</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Site officiel</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eventylife.fr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Numéro IM Atout France (cible)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IM [###-###-###] (à attribuer post-immatriculation)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financière (cible)</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APST — 1 600 000 € An 1, indexée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Assurance RC Pro Tourisme (cible)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1 500 000 € par sinistre — Galian / Hiscox / CMB</w:t>
            </w:r>
          </w:p>
        </w:tc>
      </w:tr>
    </w:tbl>
    <w:p>
      <w:pPr>
        <w:spacing w:after="160" w:before="240"/>
      </w:pPr>
      <w:r>
        <w:rPr>
          <w:rFonts w:ascii="Calibri" w:cs="Calibri" w:eastAsia="Calibri" w:hAnsi="Calibri"/>
          <w:b/>
          <w:bCs/>
          <w:color w:val="1F4E79"/>
          <w:sz w:val="32"/>
          <w:szCs w:val="32"/>
        </w:rPr>
        <w:t xml:space="preserve">2. Activité et modèle économique</w:t>
      </w:r>
    </w:p>
    <w:p>
      <w:pPr>
        <w:spacing w:after="100" w:line="280"/>
        <w:jc w:val="both"/>
      </w:pPr>
      <w:r>
        <w:rPr>
          <w:rFonts w:ascii="Calibri" w:cs="Calibri" w:eastAsia="Calibri" w:hAnsi="Calibri"/>
          <w:color w:val="1A1A1A"/>
          <w:sz w:val="20"/>
          <w:szCs w:val="20"/>
        </w:rPr>
        <w:t xml:space="preserve">EVENTY LIFE est un opérateur de voyages à forfait au sens du Code du Tourisme (articles L211-1 et suivants), en cours d'immatriculation auprès d'Atout France. La société commercialise des voyages de groupe organisés (38 voyageurs cibles, 800 € panier moyen TTC) à destination de la France et de l'Europe à portée de bus, ainsi que du Maroc.</w:t>
      </w:r>
    </w:p>
    <w:p>
      <w:pPr>
        <w:spacing w:after="100" w:line="280"/>
        <w:jc w:val="both"/>
      </w:pPr>
      <w:r>
        <w:rPr>
          <w:rFonts w:ascii="Calibri" w:cs="Calibri" w:eastAsia="Calibri" w:hAnsi="Calibri"/>
          <w:color w:val="1A1A1A"/>
          <w:sz w:val="20"/>
          <w:szCs w:val="20"/>
        </w:rPr>
        <w:t xml:space="preserve">Le modèle économique repose sur une architecture distribuée des marges :</w:t>
      </w:r>
    </w:p>
    <w:p>
      <w:pPr>
        <w:pStyle w:val="ListParagraph"/>
        <w:numPr>
          <w:ilvl w:val="0"/>
          <w:numId w:val="2"/>
        </w:numPr>
        <w:spacing w:after="60" w:line="260"/>
      </w:pPr>
      <w:r>
        <w:rPr>
          <w:rFonts w:ascii="Calibri" w:cs="Calibri" w:eastAsia="Calibri" w:hAnsi="Calibri"/>
          <w:sz w:val="20"/>
          <w:szCs w:val="20"/>
        </w:rPr>
        <w:t xml:space="preserve">Marge socle Eventy ≈ 8 % sur HRA refacturé (hôtels, restaurants, activités).</w:t>
      </w:r>
    </w:p>
    <w:p>
      <w:pPr>
        <w:pStyle w:val="ListParagraph"/>
        <w:numPr>
          <w:ilvl w:val="0"/>
          <w:numId w:val="2"/>
        </w:numPr>
        <w:spacing w:after="60" w:line="260"/>
      </w:pPr>
      <w:r>
        <w:rPr>
          <w:rFonts w:ascii="Calibri" w:cs="Calibri" w:eastAsia="Calibri" w:hAnsi="Calibri"/>
          <w:sz w:val="20"/>
          <w:szCs w:val="20"/>
        </w:rPr>
        <w:t xml:space="preserve">Commission Vendeur 5 % HT du CA voyage placé.</w:t>
      </w:r>
    </w:p>
    <w:p>
      <w:pPr>
        <w:pStyle w:val="ListParagraph"/>
        <w:numPr>
          <w:ilvl w:val="0"/>
          <w:numId w:val="2"/>
        </w:numPr>
        <w:spacing w:after="60" w:line="260"/>
      </w:pPr>
      <w:r>
        <w:rPr>
          <w:rFonts w:ascii="Calibri" w:cs="Calibri" w:eastAsia="Calibri" w:hAnsi="Calibri"/>
          <w:sz w:val="20"/>
          <w:szCs w:val="20"/>
        </w:rPr>
        <w:t xml:space="preserve">Commission Créateur 3 points sur HRA refacturé.</w:t>
      </w:r>
    </w:p>
    <w:p>
      <w:pPr>
        <w:pStyle w:val="ListParagraph"/>
        <w:numPr>
          <w:ilvl w:val="0"/>
          <w:numId w:val="2"/>
        </w:numPr>
        <w:spacing w:after="60" w:line="260"/>
      </w:pPr>
      <w:r>
        <w:rPr>
          <w:rFonts w:ascii="Calibri" w:cs="Calibri" w:eastAsia="Calibri" w:hAnsi="Calibri"/>
          <w:sz w:val="20"/>
          <w:szCs w:val="20"/>
        </w:rPr>
        <w:t xml:space="preserve">Total marge brute opérée : 11,1 % du CA voyage.</w:t>
      </w:r>
    </w:p>
    <w:p>
      <w:pPr>
        <w:pStyle w:val="ListParagraph"/>
        <w:numPr>
          <w:ilvl w:val="0"/>
          <w:numId w:val="2"/>
        </w:numPr>
        <w:spacing w:after="60" w:line="260"/>
      </w:pPr>
      <w:r>
        <w:rPr>
          <w:rFonts w:ascii="Calibri" w:cs="Calibri" w:eastAsia="Calibri" w:hAnsi="Calibri"/>
          <w:sz w:val="20"/>
          <w:szCs w:val="20"/>
        </w:rPr>
        <w:t xml:space="preserve">Redistribution aux indépendants français : 6,8 % du CA.</w:t>
      </w:r>
    </w:p>
    <w:p>
      <w:pPr>
        <w:pStyle w:val="ListParagraph"/>
        <w:numPr>
          <w:ilvl w:val="0"/>
          <w:numId w:val="2"/>
        </w:numPr>
        <w:spacing w:after="60" w:line="260"/>
      </w:pPr>
      <w:r>
        <w:rPr>
          <w:rFonts w:ascii="Calibri" w:cs="Calibri" w:eastAsia="Calibri" w:hAnsi="Calibri"/>
          <w:sz w:val="20"/>
          <w:szCs w:val="20"/>
        </w:rPr>
        <w:t xml:space="preserve">Eventy net après charges : ≈ 2 % du CA An 1, ≈ 2,3 % du CA An 5.</w:t>
      </w:r>
    </w:p>
    <w:p>
      <w:pPr>
        <w:spacing w:after="160" w:before="240"/>
      </w:pPr>
      <w:r>
        <w:rPr>
          <w:rFonts w:ascii="Calibri" w:cs="Calibri" w:eastAsia="Calibri" w:hAnsi="Calibri"/>
          <w:b/>
          <w:bCs/>
          <w:color w:val="1F4E79"/>
          <w:sz w:val="32"/>
          <w:szCs w:val="32"/>
        </w:rPr>
        <w:t xml:space="preserve">3. Volumes financiers prévisionnels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 (M€)</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1</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2</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3</w:t>
            </w:r>
          </w:p>
        </w:tc>
        <w:tc>
          <w:tcPr>
            <w:tcW w:type="dxa" w:w="1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5</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Chiffre d'affaires HT cumulé</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16,0</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80,0</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160,0</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320,0</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Encaissements voyageurs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160,0</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320,0</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Décaissements fournisseurs</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14,2</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71,2</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142,3</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284,5</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Pic des fonds clients en transit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4,25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8,5</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17,0</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Trésorerie cumulée fin de période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0,62</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6,7</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13,5</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25,0</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Volume mensuel pic (juillet)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17,0</w:t>
            </w:r>
          </w:p>
        </w:tc>
        <w:tc>
          <w:tcPr>
            <w:tcW w:type="dxa" w:w="1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34,0</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Volume mensuel creux (février)</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0,8</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4,0</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w:t>
            </w:r>
          </w:p>
        </w:tc>
        <w:tc>
          <w:tcPr>
            <w:tcW w:type="dxa" w:w="1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16,0</w:t>
            </w:r>
          </w:p>
        </w:tc>
      </w:tr>
    </w:tbl>
    <w:p>
      <w:pPr>
        <w:spacing w:after="160" w:before="240"/>
      </w:pPr>
      <w:r>
        <w:rPr>
          <w:rFonts w:ascii="Calibri" w:cs="Calibri" w:eastAsia="Calibri" w:hAnsi="Calibri"/>
          <w:b/>
          <w:bCs/>
          <w:color w:val="1F4E79"/>
          <w:sz w:val="32"/>
          <w:szCs w:val="32"/>
        </w:rPr>
        <w:t xml:space="preserve">4. Besoins bancaires</w:t>
      </w:r>
    </w:p>
    <w:p>
      <w:pPr>
        <w:spacing w:after="100" w:before="220"/>
      </w:pPr>
      <w:r>
        <w:rPr>
          <w:rFonts w:ascii="Calibri" w:cs="Calibri" w:eastAsia="Calibri" w:hAnsi="Calibri"/>
          <w:b/>
          <w:bCs/>
          <w:color w:val="E87722"/>
          <w:sz w:val="22"/>
          <w:szCs w:val="22"/>
        </w:rPr>
        <w:t xml:space="preserve">4.1. Compte d'exploitation principal</w:t>
      </w:r>
    </w:p>
    <w:p>
      <w:pPr>
        <w:pStyle w:val="ListParagraph"/>
        <w:numPr>
          <w:ilvl w:val="0"/>
          <w:numId w:val="2"/>
        </w:numPr>
        <w:spacing w:after="60" w:line="260"/>
      </w:pPr>
      <w:r>
        <w:rPr>
          <w:rFonts w:ascii="Calibri" w:cs="Calibri" w:eastAsia="Calibri" w:hAnsi="Calibri"/>
          <w:sz w:val="20"/>
          <w:szCs w:val="20"/>
        </w:rPr>
        <w:t xml:space="preserve">Compte courant professionnel — pour l'activité courante de la société.</w:t>
      </w:r>
    </w:p>
    <w:p>
      <w:pPr>
        <w:pStyle w:val="ListParagraph"/>
        <w:numPr>
          <w:ilvl w:val="0"/>
          <w:numId w:val="2"/>
        </w:numPr>
        <w:spacing w:after="60" w:line="260"/>
      </w:pPr>
      <w:r>
        <w:rPr>
          <w:rFonts w:ascii="Calibri" w:cs="Calibri" w:eastAsia="Calibri" w:hAnsi="Calibri"/>
          <w:sz w:val="20"/>
          <w:szCs w:val="20"/>
        </w:rPr>
        <w:t xml:space="preserve">Encaissement automatique depuis Stripe Connect (revenu net après commission Stripe).</w:t>
      </w:r>
    </w:p>
    <w:p>
      <w:pPr>
        <w:pStyle w:val="ListParagraph"/>
        <w:numPr>
          <w:ilvl w:val="0"/>
          <w:numId w:val="2"/>
        </w:numPr>
        <w:spacing w:after="60" w:line="260"/>
      </w:pPr>
      <w:r>
        <w:rPr>
          <w:rFonts w:ascii="Calibri" w:cs="Calibri" w:eastAsia="Calibri" w:hAnsi="Calibri"/>
          <w:sz w:val="20"/>
          <w:szCs w:val="20"/>
        </w:rPr>
        <w:t xml:space="preserve">Décaissements vers fournisseurs (HRA, autocaristes, transporteurs aériens) — virements bancaires.</w:t>
      </w:r>
    </w:p>
    <w:p>
      <w:pPr>
        <w:pStyle w:val="ListParagraph"/>
        <w:numPr>
          <w:ilvl w:val="0"/>
          <w:numId w:val="2"/>
        </w:numPr>
        <w:spacing w:after="60" w:line="260"/>
      </w:pPr>
      <w:r>
        <w:rPr>
          <w:rFonts w:ascii="Calibri" w:cs="Calibri" w:eastAsia="Calibri" w:hAnsi="Calibri"/>
          <w:sz w:val="20"/>
          <w:szCs w:val="20"/>
        </w:rPr>
        <w:t xml:space="preserve">Versements aux indépendants (créateurs, vendeurs, accompagnateurs) — virements bancaires sous 21 jours.</w:t>
      </w:r>
    </w:p>
    <w:p>
      <w:pPr>
        <w:pStyle w:val="ListParagraph"/>
        <w:numPr>
          <w:ilvl w:val="0"/>
          <w:numId w:val="2"/>
        </w:numPr>
        <w:spacing w:after="60" w:line="260"/>
      </w:pPr>
      <w:r>
        <w:rPr>
          <w:rFonts w:ascii="Calibri" w:cs="Calibri" w:eastAsia="Calibri" w:hAnsi="Calibri"/>
          <w:sz w:val="20"/>
          <w:szCs w:val="20"/>
        </w:rPr>
        <w:t xml:space="preserve">Charges fixes (équipe interne, technique, conformité, marketing).</w:t>
      </w:r>
    </w:p>
    <w:p>
      <w:pPr>
        <w:pStyle w:val="ListParagraph"/>
        <w:numPr>
          <w:ilvl w:val="0"/>
          <w:numId w:val="2"/>
        </w:numPr>
        <w:spacing w:after="60" w:line="260"/>
      </w:pPr>
      <w:r>
        <w:rPr>
          <w:rFonts w:ascii="Calibri" w:cs="Calibri" w:eastAsia="Calibri" w:hAnsi="Calibri"/>
          <w:sz w:val="20"/>
          <w:szCs w:val="20"/>
        </w:rPr>
        <w:t xml:space="preserve">Volumes mensuels An 1 : encaissements ≈ 0,8 à 2,5 M€ · décaissements ≈ 0,7 à 2,3 M€.</w:t>
      </w:r>
    </w:p>
    <w:p>
      <w:pPr>
        <w:spacing w:after="100" w:before="220"/>
      </w:pPr>
      <w:r>
        <w:rPr>
          <w:rFonts w:ascii="Calibri" w:cs="Calibri" w:eastAsia="Calibri" w:hAnsi="Calibri"/>
          <w:b/>
          <w:bCs/>
          <w:color w:val="E87722"/>
          <w:sz w:val="22"/>
          <w:szCs w:val="22"/>
        </w:rPr>
        <w:t xml:space="preserve">4.2. Compte cantonné — fonds de garantie et réserve volontaire</w:t>
      </w:r>
    </w:p>
    <w:p>
      <w:pPr>
        <w:spacing w:after="100" w:line="280"/>
        <w:jc w:val="both"/>
      </w:pPr>
      <w:r>
        <w:rPr>
          <w:rFonts w:ascii="Calibri" w:cs="Calibri" w:eastAsia="Calibri" w:hAnsi="Calibri"/>
          <w:color w:val="1A1A1A"/>
          <w:sz w:val="20"/>
          <w:szCs w:val="20"/>
        </w:rPr>
        <w:t xml:space="preserve">Eventy Life souhaite ouvrir un compte cantonné dédié aux fonds de garantie, distinct du compte d'exploitation. Ce compte cantonné héberge :</w:t>
      </w:r>
    </w:p>
    <w:p>
      <w:pPr>
        <w:pStyle w:val="ListParagraph"/>
        <w:numPr>
          <w:ilvl w:val="0"/>
          <w:numId w:val="2"/>
        </w:numPr>
        <w:spacing w:after="60" w:line="260"/>
      </w:pPr>
      <w:r>
        <w:rPr>
          <w:rFonts w:ascii="Calibri" w:cs="Calibri" w:eastAsia="Calibri" w:hAnsi="Calibri"/>
          <w:sz w:val="20"/>
          <w:szCs w:val="20"/>
        </w:rPr>
        <w:t xml:space="preserve">Contre-garantie personnelle dirigeant 10 000 € (compte bloqué dédié) — convention avec l'APST.</w:t>
      </w:r>
    </w:p>
    <w:p>
      <w:pPr>
        <w:pStyle w:val="ListParagraph"/>
        <w:numPr>
          <w:ilvl w:val="0"/>
          <w:numId w:val="2"/>
        </w:numPr>
        <w:spacing w:after="60" w:line="260"/>
      </w:pPr>
      <w:r>
        <w:rPr>
          <w:rFonts w:ascii="Calibri" w:cs="Calibri" w:eastAsia="Calibri" w:hAnsi="Calibri"/>
          <w:sz w:val="20"/>
          <w:szCs w:val="20"/>
        </w:rPr>
        <w:t xml:space="preserve">Réserve volontaire « risques tourisme » 5 % du CA annuel — clause statutaire (article 13 des Statuts).</w:t>
      </w:r>
    </w:p>
    <w:p>
      <w:pPr>
        <w:pStyle w:val="ListParagraph"/>
        <w:numPr>
          <w:ilvl w:val="0"/>
          <w:numId w:val="2"/>
        </w:numPr>
        <w:spacing w:after="60" w:line="260"/>
      </w:pPr>
      <w:r>
        <w:rPr>
          <w:rFonts w:ascii="Calibri" w:cs="Calibri" w:eastAsia="Calibri" w:hAnsi="Calibri"/>
          <w:sz w:val="20"/>
          <w:szCs w:val="20"/>
        </w:rPr>
        <w:t xml:space="preserve">Estimation An 1 : 50 K€ minimum à fin d'exercice.</w:t>
      </w:r>
    </w:p>
    <w:p>
      <w:pPr>
        <w:pStyle w:val="ListParagraph"/>
        <w:numPr>
          <w:ilvl w:val="0"/>
          <w:numId w:val="2"/>
        </w:numPr>
        <w:spacing w:after="60" w:line="260"/>
      </w:pPr>
      <w:r>
        <w:rPr>
          <w:rFonts w:ascii="Calibri" w:cs="Calibri" w:eastAsia="Calibri" w:hAnsi="Calibri"/>
          <w:sz w:val="20"/>
          <w:szCs w:val="20"/>
        </w:rPr>
        <w:t xml:space="preserve">Estimation An 5 : 1 250 K€ minimum à fin d'exercice.</w:t>
      </w:r>
    </w:p>
    <w:p>
      <w:pPr>
        <w:spacing w:after="100" w:line="280"/>
        <w:jc w:val="both"/>
      </w:pPr>
      <w:r>
        <w:rPr>
          <w:rFonts w:ascii="Calibri" w:cs="Calibri" w:eastAsia="Calibri" w:hAnsi="Calibri"/>
          <w:color w:val="1A1A1A"/>
          <w:sz w:val="20"/>
          <w:szCs w:val="20"/>
        </w:rPr>
        <w:t xml:space="preserve">Le compte cantonné est soumis à des règles spécifiques (double signature pour sortie, reporting trimestriel à l'APST, audit annuel par expert-comptable + commissaire aux comptes le cas échéant).</w:t>
      </w:r>
    </w:p>
    <w:p>
      <w:pPr>
        <w:spacing w:after="100" w:before="220"/>
      </w:pPr>
      <w:r>
        <w:rPr>
          <w:rFonts w:ascii="Calibri" w:cs="Calibri" w:eastAsia="Calibri" w:hAnsi="Calibri"/>
          <w:b/>
          <w:bCs/>
          <w:color w:val="E87722"/>
          <w:sz w:val="22"/>
          <w:szCs w:val="22"/>
        </w:rPr>
        <w:t xml:space="preserve">4.3. Services attendus</w:t>
      </w:r>
    </w:p>
    <w:p>
      <w:pPr>
        <w:pStyle w:val="ListParagraph"/>
        <w:numPr>
          <w:ilvl w:val="0"/>
          <w:numId w:val="2"/>
        </w:numPr>
        <w:spacing w:after="60" w:line="260"/>
      </w:pPr>
      <w:r>
        <w:rPr>
          <w:rFonts w:ascii="Calibri" w:cs="Calibri" w:eastAsia="Calibri" w:hAnsi="Calibri"/>
          <w:sz w:val="20"/>
          <w:szCs w:val="20"/>
        </w:rPr>
        <w:t xml:space="preserve">Banque en ligne professionnelle (interface moderne, API pour intégration plateforme Eventy).</w:t>
      </w:r>
    </w:p>
    <w:p>
      <w:pPr>
        <w:pStyle w:val="ListParagraph"/>
        <w:numPr>
          <w:ilvl w:val="0"/>
          <w:numId w:val="2"/>
        </w:numPr>
        <w:spacing w:after="60" w:line="260"/>
      </w:pPr>
      <w:r>
        <w:rPr>
          <w:rFonts w:ascii="Calibri" w:cs="Calibri" w:eastAsia="Calibri" w:hAnsi="Calibri"/>
          <w:sz w:val="20"/>
          <w:szCs w:val="20"/>
        </w:rPr>
        <w:t xml:space="preserve">Virements SEPA illimités (vers indépendants, fournisseurs).</w:t>
      </w:r>
    </w:p>
    <w:p>
      <w:pPr>
        <w:pStyle w:val="ListParagraph"/>
        <w:numPr>
          <w:ilvl w:val="0"/>
          <w:numId w:val="2"/>
        </w:numPr>
        <w:spacing w:after="60" w:line="260"/>
      </w:pPr>
      <w:r>
        <w:rPr>
          <w:rFonts w:ascii="Calibri" w:cs="Calibri" w:eastAsia="Calibri" w:hAnsi="Calibri"/>
          <w:sz w:val="20"/>
          <w:szCs w:val="20"/>
        </w:rPr>
        <w:t xml:space="preserve">Virements internationaux (vers HRA et transporteurs hors France — Espagne, Portugal, Maroc, Italie, etc.).</w:t>
      </w:r>
    </w:p>
    <w:p>
      <w:pPr>
        <w:pStyle w:val="ListParagraph"/>
        <w:numPr>
          <w:ilvl w:val="0"/>
          <w:numId w:val="2"/>
        </w:numPr>
        <w:spacing w:after="60" w:line="260"/>
      </w:pPr>
      <w:r>
        <w:rPr>
          <w:rFonts w:ascii="Calibri" w:cs="Calibri" w:eastAsia="Calibri" w:hAnsi="Calibri"/>
          <w:sz w:val="20"/>
          <w:szCs w:val="20"/>
        </w:rPr>
        <w:t xml:space="preserve">Cartes bancaires d'entreprise multi-utilisateurs avec plafonds personnalisables (équipe, accompagnateurs en mission).</w:t>
      </w:r>
    </w:p>
    <w:p>
      <w:pPr>
        <w:pStyle w:val="ListParagraph"/>
        <w:numPr>
          <w:ilvl w:val="0"/>
          <w:numId w:val="2"/>
        </w:numPr>
        <w:spacing w:after="60" w:line="260"/>
      </w:pPr>
      <w:r>
        <w:rPr>
          <w:rFonts w:ascii="Calibri" w:cs="Calibri" w:eastAsia="Calibri" w:hAnsi="Calibri"/>
          <w:sz w:val="20"/>
          <w:szCs w:val="20"/>
        </w:rPr>
        <w:t xml:space="preserve">Encaissement carte (intégré via Stripe ou natif banque).</w:t>
      </w:r>
    </w:p>
    <w:p>
      <w:pPr>
        <w:pStyle w:val="ListParagraph"/>
        <w:numPr>
          <w:ilvl w:val="0"/>
          <w:numId w:val="2"/>
        </w:numPr>
        <w:spacing w:after="60" w:line="260"/>
      </w:pPr>
      <w:r>
        <w:rPr>
          <w:rFonts w:ascii="Calibri" w:cs="Calibri" w:eastAsia="Calibri" w:hAnsi="Calibri"/>
          <w:sz w:val="20"/>
          <w:szCs w:val="20"/>
        </w:rPr>
        <w:t xml:space="preserve">Ligne de découvert autorisée (facultative — BFR négatif structurel rend peu probable son besoin).</w:t>
      </w:r>
    </w:p>
    <w:p>
      <w:pPr>
        <w:pStyle w:val="ListParagraph"/>
        <w:numPr>
          <w:ilvl w:val="0"/>
          <w:numId w:val="2"/>
        </w:numPr>
        <w:spacing w:after="60" w:line="260"/>
      </w:pPr>
      <w:r>
        <w:rPr>
          <w:rFonts w:ascii="Calibri" w:cs="Calibri" w:eastAsia="Calibri" w:hAnsi="Calibri"/>
          <w:sz w:val="20"/>
          <w:szCs w:val="20"/>
        </w:rPr>
        <w:t xml:space="preserve">Gestion de trésorerie : compte rémunéré ou placement court terme pour la trésorerie excédentaire (à compter de l'An 2).</w:t>
      </w:r>
    </w:p>
    <w:p>
      <w:pPr>
        <w:spacing w:after="160" w:before="240"/>
      </w:pPr>
      <w:r>
        <w:rPr>
          <w:rFonts w:ascii="Calibri" w:cs="Calibri" w:eastAsia="Calibri" w:hAnsi="Calibri"/>
          <w:b/>
          <w:bCs/>
          <w:color w:val="1F4E79"/>
          <w:sz w:val="32"/>
          <w:szCs w:val="32"/>
        </w:rPr>
        <w:t xml:space="preserve">5. Garantie de prêt bancaire (le cas échéant)</w:t>
      </w:r>
    </w:p>
    <w:p>
      <w:pPr>
        <w:spacing w:after="100" w:line="280"/>
        <w:jc w:val="both"/>
      </w:pPr>
      <w:r>
        <w:rPr>
          <w:rFonts w:ascii="Calibri" w:cs="Calibri" w:eastAsia="Calibri" w:hAnsi="Calibri"/>
          <w:color w:val="1A1A1A"/>
          <w:sz w:val="20"/>
          <w:szCs w:val="20"/>
        </w:rPr>
        <w:t xml:space="preserve">Eventy Life ne prévoit pas, dans son scénario central, de recourir à un emprunt bancaire significatif. La société est auto-financée et présente un BFR négatif structurel (-33 jours An 1, -25 jours An 5). Toutefois, en complément :</w:t>
      </w:r>
    </w:p>
    <w:p>
      <w:pPr>
        <w:pStyle w:val="ListParagraph"/>
        <w:numPr>
          <w:ilvl w:val="0"/>
          <w:numId w:val="2"/>
        </w:numPr>
        <w:spacing w:after="60" w:line="260"/>
      </w:pPr>
      <w:r>
        <w:rPr>
          <w:rFonts w:ascii="Calibri" w:cs="Calibri" w:eastAsia="Calibri" w:hAnsi="Calibri"/>
          <w:sz w:val="20"/>
          <w:szCs w:val="20"/>
        </w:rPr>
        <w:t xml:space="preserve">Eventy peut solliciter un prêt court terme de trésorerie pour absorber la saisonnalité (le cas échéant).</w:t>
      </w:r>
    </w:p>
    <w:p>
      <w:pPr>
        <w:pStyle w:val="ListParagraph"/>
        <w:numPr>
          <w:ilvl w:val="0"/>
          <w:numId w:val="2"/>
        </w:numPr>
        <w:spacing w:after="60" w:line="260"/>
      </w:pPr>
      <w:r>
        <w:rPr>
          <w:rFonts w:ascii="Calibri" w:cs="Calibri" w:eastAsia="Calibri" w:hAnsi="Calibri"/>
          <w:sz w:val="20"/>
          <w:szCs w:val="20"/>
        </w:rPr>
        <w:t xml:space="preserve">Eventy bénéficie de la Garantie Création Bpifrance, qui couvre 60 à 70 % d'un éventuel prêt bancaire.</w:t>
      </w:r>
    </w:p>
    <w:p>
      <w:pPr>
        <w:pStyle w:val="ListParagraph"/>
        <w:numPr>
          <w:ilvl w:val="0"/>
          <w:numId w:val="2"/>
        </w:numPr>
        <w:spacing w:after="60" w:line="260"/>
      </w:pPr>
      <w:r>
        <w:rPr>
          <w:rFonts w:ascii="Calibri" w:cs="Calibri" w:eastAsia="Calibri" w:hAnsi="Calibri"/>
          <w:sz w:val="20"/>
          <w:szCs w:val="20"/>
        </w:rPr>
        <w:t xml:space="preserve">Les financements publics (Bpifrance Innovation, ADI, FEDER) sont activement sollicités en parallèle.</w:t>
      </w:r>
    </w:p>
    <w:p>
      <w:pPr>
        <w:spacing w:after="160" w:before="240"/>
      </w:pPr>
      <w:r>
        <w:rPr>
          <w:rFonts w:ascii="Calibri" w:cs="Calibri" w:eastAsia="Calibri" w:hAnsi="Calibri"/>
          <w:b/>
          <w:bCs/>
          <w:color w:val="1F4E79"/>
          <w:sz w:val="32"/>
          <w:szCs w:val="32"/>
        </w:rPr>
        <w:t xml:space="preserve">6. Documents à transmettre à la banque</w:t>
      </w:r>
    </w:p>
    <w:p>
      <w:pPr>
        <w:pStyle w:val="ListParagraph"/>
        <w:numPr>
          <w:ilvl w:val="0"/>
          <w:numId w:val="2"/>
        </w:numPr>
        <w:spacing w:after="60" w:line="260"/>
      </w:pPr>
      <w:r>
        <w:rPr>
          <w:rFonts w:ascii="Calibri" w:cs="Calibri" w:eastAsia="Calibri" w:hAnsi="Calibri"/>
          <w:sz w:val="20"/>
          <w:szCs w:val="20"/>
        </w:rPr>
        <w:t xml:space="preserve">Extrait Kbis de moins de 3 mois (post-immatriculation).</w:t>
      </w:r>
    </w:p>
    <w:p>
      <w:pPr>
        <w:pStyle w:val="ListParagraph"/>
        <w:numPr>
          <w:ilvl w:val="0"/>
          <w:numId w:val="2"/>
        </w:numPr>
        <w:spacing w:after="60" w:line="260"/>
      </w:pPr>
      <w:r>
        <w:rPr>
          <w:rFonts w:ascii="Calibri" w:cs="Calibri" w:eastAsia="Calibri" w:hAnsi="Calibri"/>
          <w:sz w:val="20"/>
          <w:szCs w:val="20"/>
        </w:rPr>
        <w:t xml:space="preserve">Statuts SAS Eventy Life signés (Eventy-Life-Statuts-SAS.pdf).</w:t>
      </w:r>
    </w:p>
    <w:p>
      <w:pPr>
        <w:pStyle w:val="ListParagraph"/>
        <w:numPr>
          <w:ilvl w:val="0"/>
          <w:numId w:val="2"/>
        </w:numPr>
        <w:spacing w:after="60" w:line="260"/>
      </w:pPr>
      <w:r>
        <w:rPr>
          <w:rFonts w:ascii="Calibri" w:cs="Calibri" w:eastAsia="Calibri" w:hAnsi="Calibri"/>
          <w:sz w:val="20"/>
          <w:szCs w:val="20"/>
        </w:rPr>
        <w:t xml:space="preserve">Justificatif d'identité du Président (CNI ou passeport).</w:t>
      </w:r>
    </w:p>
    <w:p>
      <w:pPr>
        <w:pStyle w:val="ListParagraph"/>
        <w:numPr>
          <w:ilvl w:val="0"/>
          <w:numId w:val="2"/>
        </w:numPr>
        <w:spacing w:after="60" w:line="260"/>
      </w:pPr>
      <w:r>
        <w:rPr>
          <w:rFonts w:ascii="Calibri" w:cs="Calibri" w:eastAsia="Calibri" w:hAnsi="Calibri"/>
          <w:sz w:val="20"/>
          <w:szCs w:val="20"/>
        </w:rPr>
        <w:t xml:space="preserve">Justificatif de domicile du Président.</w:t>
      </w:r>
    </w:p>
    <w:p>
      <w:pPr>
        <w:pStyle w:val="ListParagraph"/>
        <w:numPr>
          <w:ilvl w:val="0"/>
          <w:numId w:val="2"/>
        </w:numPr>
        <w:spacing w:after="60" w:line="260"/>
      </w:pPr>
      <w:r>
        <w:rPr>
          <w:rFonts w:ascii="Calibri" w:cs="Calibri" w:eastAsia="Calibri" w:hAnsi="Calibri"/>
          <w:sz w:val="20"/>
          <w:szCs w:val="20"/>
        </w:rPr>
        <w:t xml:space="preserve">Justificatif d'occupation des locaux du siège (bail commercial ou domiciliation).</w:t>
      </w:r>
    </w:p>
    <w:p>
      <w:pPr>
        <w:pStyle w:val="ListParagraph"/>
        <w:numPr>
          <w:ilvl w:val="0"/>
          <w:numId w:val="2"/>
        </w:numPr>
        <w:spacing w:after="60" w:line="260"/>
      </w:pPr>
      <w:r>
        <w:rPr>
          <w:rFonts w:ascii="Calibri" w:cs="Calibri" w:eastAsia="Calibri" w:hAnsi="Calibri"/>
          <w:sz w:val="20"/>
          <w:szCs w:val="20"/>
        </w:rPr>
        <w:t xml:space="preserve">Compte de résultat prévisionnel An 1 / An 2 (extrait du dossier APST).</w:t>
      </w:r>
    </w:p>
    <w:p>
      <w:pPr>
        <w:pStyle w:val="ListParagraph"/>
        <w:numPr>
          <w:ilvl w:val="0"/>
          <w:numId w:val="2"/>
        </w:numPr>
        <w:spacing w:after="60" w:line="260"/>
      </w:pPr>
      <w:r>
        <w:rPr>
          <w:rFonts w:ascii="Calibri" w:cs="Calibri" w:eastAsia="Calibri" w:hAnsi="Calibri"/>
          <w:sz w:val="20"/>
          <w:szCs w:val="20"/>
        </w:rPr>
        <w:t xml:space="preserve">Plan de trésorerie 24 mois (extrait du dossier APST).</w:t>
      </w:r>
    </w:p>
    <w:p>
      <w:pPr>
        <w:pStyle w:val="ListParagraph"/>
        <w:numPr>
          <w:ilvl w:val="0"/>
          <w:numId w:val="2"/>
        </w:numPr>
        <w:spacing w:after="60" w:line="260"/>
      </w:pPr>
      <w:r>
        <w:rPr>
          <w:rFonts w:ascii="Calibri" w:cs="Calibri" w:eastAsia="Calibri" w:hAnsi="Calibri"/>
          <w:sz w:val="20"/>
          <w:szCs w:val="20"/>
        </w:rPr>
        <w:t xml:space="preserve">Brochure commerciale Eventy Life (Eventy-Life-Brochure-Commerciale.pdf).</w:t>
      </w:r>
    </w:p>
    <w:p>
      <w:pPr>
        <w:pStyle w:val="ListParagraph"/>
        <w:numPr>
          <w:ilvl w:val="0"/>
          <w:numId w:val="2"/>
        </w:numPr>
        <w:spacing w:after="60" w:line="260"/>
      </w:pPr>
      <w:r>
        <w:rPr>
          <w:rFonts w:ascii="Calibri" w:cs="Calibri" w:eastAsia="Calibri" w:hAnsi="Calibri"/>
          <w:sz w:val="20"/>
          <w:szCs w:val="20"/>
        </w:rPr>
        <w:t xml:space="preserve">Le cas échéant, attestation APST de garantie financière + attestation RC Pro.</w:t>
      </w:r>
    </w:p>
    <w:p>
      <w:pPr>
        <w:spacing w:after="160" w:before="240"/>
      </w:pPr>
      <w:r>
        <w:rPr>
          <w:rFonts w:ascii="Calibri" w:cs="Calibri" w:eastAsia="Calibri" w:hAnsi="Calibri"/>
          <w:b/>
          <w:bCs/>
          <w:color w:val="1F4E79"/>
          <w:sz w:val="32"/>
          <w:szCs w:val="32"/>
        </w:rPr>
        <w:t xml:space="preserve">7. Calendrier d'ouverture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Échéance</w:t>
            </w:r>
          </w:p>
        </w:tc>
        <w:tc>
          <w:tcPr>
            <w:tcW w:type="dxa" w:w="4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Action</w:t>
            </w:r>
          </w:p>
        </w:tc>
        <w:tc>
          <w:tcPr>
            <w:tcW w:type="dxa" w:w="26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Statut</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+ 7 (post-Kbis)</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Premier rendez-vous banque · présentation projet</w:t>
            </w:r>
          </w:p>
        </w:tc>
        <w:tc>
          <w:tcPr>
            <w:tcW w:type="dxa" w:w="26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planifier</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+ 14</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Constitution du dossier complet d'ouverture</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À faire</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+ 21</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Décision banque sur l'ouverture des comptes</w:t>
            </w:r>
          </w:p>
        </w:tc>
        <w:tc>
          <w:tcPr>
            <w:tcW w:type="dxa" w:w="26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Attendu</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+ 30</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Activation des comptes (exploitation + cantonné)</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+ 30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Versement de la contre-garantie 10 K€ sur compte bloqué</w:t>
            </w:r>
          </w:p>
        </w:tc>
        <w:tc>
          <w:tcPr>
            <w:tcW w:type="dxa" w:w="26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+ 35</w:t>
            </w:r>
          </w:p>
        </w:tc>
        <w:tc>
          <w:tcPr>
            <w:tcW w:type="dxa" w:w="4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Premier prélèvement test depuis Stripe Connect</w:t>
            </w:r>
          </w:p>
        </w:tc>
        <w:tc>
          <w:tcPr>
            <w:tcW w:type="dxa" w:w="26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w:t>
            </w:r>
          </w:p>
        </w:tc>
      </w:tr>
      <w:tr>
        <w:tc>
          <w:tcPr>
            <w:tcW w:type="dxa" w:w="2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 + 60</w:t>
            </w:r>
          </w:p>
        </w:tc>
        <w:tc>
          <w:tcPr>
            <w:tcW w:type="dxa" w:w="4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Compte opérationnel pour le lancement commercial</w:t>
            </w:r>
          </w:p>
        </w:tc>
        <w:tc>
          <w:tcPr>
            <w:tcW w:type="dxa" w:w="26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w:t>
            </w:r>
          </w:p>
        </w:tc>
      </w:tr>
    </w:tbl>
    <w:p>
      <w:pPr>
        <w:spacing w:after="160" w:before="240"/>
      </w:pPr>
      <w:r>
        <w:rPr>
          <w:rFonts w:ascii="Calibri" w:cs="Calibri" w:eastAsia="Calibri" w:hAnsi="Calibri"/>
          <w:b/>
          <w:bCs/>
          <w:color w:val="1F4E79"/>
          <w:sz w:val="32"/>
          <w:szCs w:val="32"/>
        </w:rPr>
        <w:t xml:space="preserve">8. Banques pressenties</w:t>
      </w:r>
    </w:p>
    <w:p>
      <w:pPr>
        <w:pStyle w:val="ListParagraph"/>
        <w:numPr>
          <w:ilvl w:val="0"/>
          <w:numId w:val="2"/>
        </w:numPr>
        <w:spacing w:after="60" w:line="260"/>
      </w:pPr>
      <w:r>
        <w:rPr>
          <w:rFonts w:ascii="Calibri" w:cs="Calibri" w:eastAsia="Calibri" w:hAnsi="Calibri"/>
          <w:sz w:val="20"/>
          <w:szCs w:val="20"/>
        </w:rPr>
        <w:t xml:space="preserve">Banque française traditionnelle avec offre PME tourisme — interlocuteur dédié, agence physique.</w:t>
      </w:r>
    </w:p>
    <w:p>
      <w:pPr>
        <w:pStyle w:val="ListParagraph"/>
        <w:numPr>
          <w:ilvl w:val="0"/>
          <w:numId w:val="2"/>
        </w:numPr>
        <w:spacing w:after="60" w:line="260"/>
      </w:pPr>
      <w:r>
        <w:rPr>
          <w:rFonts w:ascii="Calibri" w:cs="Calibri" w:eastAsia="Calibri" w:hAnsi="Calibri"/>
          <w:sz w:val="20"/>
          <w:szCs w:val="20"/>
        </w:rPr>
        <w:t xml:space="preserve">Banque en ligne professionnelle (Qonto, Shine, etc.) — agilité, API, coûts maîtrisés.</w:t>
      </w:r>
    </w:p>
    <w:p>
      <w:pPr>
        <w:pStyle w:val="ListParagraph"/>
        <w:numPr>
          <w:ilvl w:val="0"/>
          <w:numId w:val="2"/>
        </w:numPr>
        <w:spacing w:after="60" w:line="260"/>
      </w:pPr>
      <w:r>
        <w:rPr>
          <w:rFonts w:ascii="Calibri" w:cs="Calibri" w:eastAsia="Calibri" w:hAnsi="Calibri"/>
          <w:sz w:val="20"/>
          <w:szCs w:val="20"/>
        </w:rPr>
        <w:t xml:space="preserve">Banque coopérative (Crédit Coopératif, Crédit Mutuel) — sensibilité aux modèles d'économie distributive et RSE.</w:t>
      </w:r>
    </w:p>
    <w:p>
      <w:pPr>
        <w:spacing w:after="100" w:line="280"/>
        <w:jc w:val="both"/>
      </w:pPr>
      <w:r>
        <w:rPr>
          <w:rFonts w:ascii="Calibri" w:cs="Calibri" w:eastAsia="Calibri" w:hAnsi="Calibri"/>
          <w:i/>
          <w:iCs/>
          <w:color w:val="1A1A1A"/>
          <w:sz w:val="20"/>
          <w:szCs w:val="20"/>
        </w:rPr>
        <w:t xml:space="preserve">Eventy Life sollicitera idéalement une combinaison : banque principale traditionnelle pour le sérieux institutionnel + banque en ligne pour la fluidité opérationnelle. Le choix final dépendra des conditions tarifaires, de la qualité de l'interlocuteur et de la flexibilité opérationnelle.</w:t>
      </w:r>
    </w:p>
    <w:p>
      <w:pPr>
        <w:spacing w:after="160" w:before="240"/>
      </w:pPr>
      <w:r>
        <w:rPr>
          <w:rFonts w:ascii="Calibri" w:cs="Calibri" w:eastAsia="Calibri" w:hAnsi="Calibri"/>
          <w:b/>
          <w:bCs/>
          <w:color w:val="1F4E79"/>
          <w:sz w:val="32"/>
          <w:szCs w:val="32"/>
        </w:rPr>
        <w:t xml:space="preserve">9. Engagements d'Eventy</w:t>
      </w:r>
    </w:p>
    <w:p>
      <w:pPr>
        <w:pStyle w:val="ListParagraph"/>
        <w:numPr>
          <w:ilvl w:val="0"/>
          <w:numId w:val="2"/>
        </w:numPr>
        <w:spacing w:after="60" w:line="260"/>
      </w:pPr>
      <w:r>
        <w:rPr>
          <w:rFonts w:ascii="Calibri" w:cs="Calibri" w:eastAsia="Calibri" w:hAnsi="Calibri"/>
          <w:sz w:val="20"/>
          <w:szCs w:val="20"/>
        </w:rPr>
        <w:t xml:space="preserve">Transparence totale sur les flux financiers — accès aux extraits, reporting trimestriel possible.</w:t>
      </w:r>
    </w:p>
    <w:p>
      <w:pPr>
        <w:pStyle w:val="ListParagraph"/>
        <w:numPr>
          <w:ilvl w:val="0"/>
          <w:numId w:val="2"/>
        </w:numPr>
        <w:spacing w:after="60" w:line="260"/>
      </w:pPr>
      <w:r>
        <w:rPr>
          <w:rFonts w:ascii="Calibri" w:cs="Calibri" w:eastAsia="Calibri" w:hAnsi="Calibri"/>
          <w:sz w:val="20"/>
          <w:szCs w:val="20"/>
        </w:rPr>
        <w:t xml:space="preserve">Coopération en cas d'audit ou de contrôle de la banque.</w:t>
      </w:r>
    </w:p>
    <w:p>
      <w:pPr>
        <w:pStyle w:val="ListParagraph"/>
        <w:numPr>
          <w:ilvl w:val="0"/>
          <w:numId w:val="2"/>
        </w:numPr>
        <w:spacing w:after="60" w:line="260"/>
      </w:pPr>
      <w:r>
        <w:rPr>
          <w:rFonts w:ascii="Calibri" w:cs="Calibri" w:eastAsia="Calibri" w:hAnsi="Calibri"/>
          <w:sz w:val="20"/>
          <w:szCs w:val="20"/>
        </w:rPr>
        <w:t xml:space="preserve">Maintien permanent des garanties APST et RC Pro.</w:t>
      </w:r>
    </w:p>
    <w:p>
      <w:pPr>
        <w:pStyle w:val="ListParagraph"/>
        <w:numPr>
          <w:ilvl w:val="0"/>
          <w:numId w:val="2"/>
        </w:numPr>
        <w:spacing w:after="60" w:line="260"/>
      </w:pPr>
      <w:r>
        <w:rPr>
          <w:rFonts w:ascii="Calibri" w:cs="Calibri" w:eastAsia="Calibri" w:hAnsi="Calibri"/>
          <w:sz w:val="20"/>
          <w:szCs w:val="20"/>
        </w:rPr>
        <w:t xml:space="preserve">Respect strict du cantonnement des fonds clients — distinction nette entre compte d'exploitation et compte cantonné.</w:t>
      </w:r>
    </w:p>
    <w:p>
      <w:pPr>
        <w:pStyle w:val="ListParagraph"/>
        <w:numPr>
          <w:ilvl w:val="0"/>
          <w:numId w:val="2"/>
        </w:numPr>
        <w:spacing w:after="60" w:line="260"/>
      </w:pPr>
      <w:r>
        <w:rPr>
          <w:rFonts w:ascii="Calibri" w:cs="Calibri" w:eastAsia="Calibri" w:hAnsi="Calibri"/>
          <w:sz w:val="20"/>
          <w:szCs w:val="20"/>
        </w:rPr>
        <w:t xml:space="preserve">Notification sans délai de toute évolution significative (changement de statut, dirigeant, structure capitalistique).</w:t>
      </w:r>
    </w:p>
    <w:p>
      <w:pPr>
        <w:spacing w:after="180"/>
      </w:pPr>
      <w:r>
        <w:t xml:space="preserve"/>
      </w:r>
    </w:p>
    <w:p>
      <w:pPr>
        <w:spacing w:after="100" w:line="280"/>
        <w:jc w:val="both"/>
      </w:pPr>
      <w:r>
        <w:rPr>
          <w:rFonts w:ascii="Calibri" w:cs="Calibri" w:eastAsia="Calibri" w:hAnsi="Calibri"/>
          <w:b/>
          <w:bCs/>
          <w:color w:val="1F4E79"/>
          <w:sz w:val="22"/>
          <w:szCs w:val="22"/>
        </w:rPr>
        <w:t xml:space="preserve">Contact direct : David Eventy — Président, Fondateur — eventylife@gmail.com — disponibilité 7j/7.</w:t>
      </w:r>
    </w:p>
    <w:p>
      <w:pPr>
        <w:spacing w:after="80"/>
      </w:pPr>
      <w:r>
        <w:t xml:space="preserve"/>
      </w:r>
    </w:p>
    <w:p>
      <w:pPr>
        <w:spacing w:after="100" w:line="280"/>
        <w:jc w:val="both"/>
      </w:pPr>
      <w:r>
        <w:rPr>
          <w:rFonts w:ascii="Calibri" w:cs="Calibri" w:eastAsia="Calibri" w:hAnsi="Calibri"/>
          <w:i/>
          <w:iCs/>
          <w:color w:val="555555"/>
          <w:sz w:val="18"/>
          <w:szCs w:val="18"/>
        </w:rPr>
        <w:t xml:space="preserve">Document confidentiel — destiné aux échanges avec la banque pressentie comme domiciliataire des comptes professionnels.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Document banque domiciliataire · Confidentiel</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Document de référence banque domiciliataire</dc:title>
  <dc:creator>David Eventy — Eventy Life SAS</dc:creator>
  <dc:description>Préparation à l'ouverture des comptes professionnels Eventy Life.</dc:description>
  <cp:lastModifiedBy>Un-named</cp:lastModifiedBy>
  <cp:revision>1</cp:revision>
  <dcterms:created xsi:type="dcterms:W3CDTF">2026-04-30T09:09:38.496Z</dcterms:created>
  <dcterms:modified xsi:type="dcterms:W3CDTF">2026-04-30T09:09:38.497Z</dcterms:modified>
</cp:coreProperties>
</file>

<file path=docProps/custom.xml><?xml version="1.0" encoding="utf-8"?>
<Properties xmlns="http://schemas.openxmlformats.org/officeDocument/2006/custom-properties" xmlns:vt="http://schemas.openxmlformats.org/officeDocument/2006/docPropsVTypes"/>
</file>