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2D" w:sz="18"/>
              <w:left w:val="single" w:color="2C5F2D" w:sz="18"/>
              <w:bottom w:val="single" w:color="2C5F2D" w:sz="18"/>
              <w:right w:val="single" w:color="2C5F2D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28"/>
                <w:szCs w:val="28"/>
              </w:rPr>
              <w:t xml:space="preserve">NOTE DE RÉFÉRENCE — EXPERT-COMPTABLE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Synthèse des points comptables et fiscaux à valider · pendant à la note avocat tourisme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note est rédigée à l'attention de l'expert-comptable spécialisé tourisme partenaire d'EVENTY LIFE SAS. Elle synthétise les enjeux comptables, fiscaux et sociaux du projet en vue du mandat d'expertise comptable annuel et de l'attestation comptable destinée à l'APST.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Elle est complémentaire à la note de référence avocat tourisme (Eventy-Life-Note-Avocat-Tourisme.pdf) — l'avocat valide le juridique, l'expert-comptable valide le comptable et le fiscal. La double validation est attendue avant le dépôt officiel du dossier de garantie financière APST.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comptable applicable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Forme juridique et obligations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Société par Actions Simplifiée (SAS) au capital initial de 3 000 €, en cours de création.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 : opérateur de voyages à forfait — code NAF 7912Z.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Régime comptable : système comptable normal (sauf option pour le système simplifié si seuils respectés).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Référentiel : Plan Comptable Général applicable + spécificités tourisme (compte 658 sur frais d'organisation,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Exercice social : du 1er janvier au 31 décembre · premier exercice de moins de 12 mois prévu.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Désignation Commissaire aux comptes obligatoire au franchissement de 2 des seuils suivants : total bilan 5 M€, CA HT 10 M€, effectif moyen 50.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Spécificités tourisme à anticiper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 467 « Acomptes voyageurs reçus » — fonds clients en transit, à provisionner à chaque clôture.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Comptes de tiers spécifiques pour HRA, transporteurs, créateurs et vendeurs (créances et dettes croisées).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Engagements hors bilan : caution APST 10 K€, garantie financière implicite des fonds en transit.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Comptabilité analytique par voyage recommandée — utile pour le contrôle de gestion et la reporting trimestriel APST.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TVA — régime tourisme à valider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TVA marge tourisme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Référence : article 266-1-e du Code Général des Impôts · BOI-TVA-SECT-60. Le régime de TVA marge s'applique aux agences de voyages et opérateurs de voyages à forfait pour les prestations de voyage achetées et revendues.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Assiette taxable = marge bénéficiaire (CA voyage HT - prix d'achat des prestations refacturées).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: 20 % standard.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récupération de TVA sur les achats de prestations refacturées (sauf cas spécifiques).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Comptabilité distincte requise par voyage (registre TVA marge tourisme).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Mécanique de marge distribuée — point de vigilance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Eventy applique un modèle distribué qui doit être correctement traité fiscalement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Marge socle Eventy (≈ 8 % HRA refacturé) — entre dans l'assiette de TVA marge tourisme.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Commission Vendeur (5 % HT) — facturée par les Vendeurs auto-entrepreneurs à Eventy en franchise de TVA si &lt; seuil franchise (article 293 B CGI), ou en TVA standard si &gt; seuil.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Commission Créateur (3 % HRA) — même régime que la commission Vendeur (selon statut juridique du Créateur).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Forfait accompagnement — facturé par l'accompagnateur en TVA franchise ou TVA standard selon statut.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Vigilance : éviter la double imposition entre la marge socle Eventy et les commissions versées.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Questions ouvertes pour l'expert-comptable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Comment traiter la commission Vendeur de 5 % HT du CA voyage ? Charge externe pour Eventy (compte 622X) ou réduction de l'assiette de TVA marge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Comment traiter la commission Créateur de 3 % sur HRA ? Charge externe (compte 622X) ou cession partielle de la marge HRA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Quel rythme de déclaration TVA recommandé : mensuel ou trimestriel selon le CA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Faut-il opter pour le régime du réel normal ou du réel simplifié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Modalités de la TVA intracommunautaire pour les prestations achetées dans d'autres pays UE (Espagne, Portugal, Italie, etc.)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Quel traitement pour les voyageurs résidents hors UE ?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Impôt sur les sociétés — optimisation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Régime applicable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PME éligible au taux réduit IS 15 % sur les premiers 42 500 € de bénéfice (sous conditions de capital intégralement libéré et de détention par personnes physiques pour 75 % au moins).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Au-delà : taux IS standard 25 %.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Acompte IS : trimestriel selon montant de l'IS de l'exercice précédent.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Statut JEI — Jeune Entreprise Innovante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Référence : article 44 sexies-0 A du CGI. Eventy peut viser le statut JEI dès le 1er exercice.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Conditions cumulatives : PME &lt; 8 ans · CA &lt; 50 M€ · indépendance capitalistique · dépenses R&amp;D ≥ 15 % des charges totales.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 IS : exonération totale d'IS sur le 1er exercice bénéficiaire, puis 50 % sur le 2nd.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 social : exonération de cotisations patronales sur les rémunérations chercheurs, techniciens R&amp;D, gestionnaires de projet R&amp;D, juristes industrie (jusqu'à 4,5 SMIC).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 local : exonération possible CFE et taxe foncière (sur délibération communale).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Statut JEC — Jeune Entreprise de Croissance (introduit 2024)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Cible : PME en forte croissance (croissance &gt; 100 % entre 2 exercices).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Avantages similaires JEI mais seuil R&amp;D abaissé à 5 à 15 %.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y prétend dès l'An 2 (croissance prévue +400 % : 16 M€ → 80 M€).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Crédits d'impôt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Crédit d'Impôt Recherche (CIR)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Référence : article 244 quater B CGI.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: 30 % des dépenses éligibles jusqu'à 100 M€.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Restitution immédiate pour PME, JEI et JEC.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Estimation Eventy An 1 : si dépenses R&amp;D ≈ 250 K€ → CIR ≈ 75 K€.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Crédit d'Impôt Innovation (CII)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Cible : PME au sens européen.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: 20 % des dépenses éligibles à compter de 2025 · plafond 400 K€ · CII max 80 K€/an.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Estimation Eventy An 1 : ≈ 20 K€.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Synthèse économie fiscale An 1 anticipée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ouble" w:color="2C5F2D" w:sz="18"/>
              <w:left w:val="double" w:color="2C5F2D" w:sz="18"/>
              <w:bottom w:val="double" w:color="2C5F2D" w:sz="18"/>
              <w:right w:val="double" w:color="2C5F2D" w:sz="18"/>
            </w:tcBorders>
            <w:shd w:fill="E5EDD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24"/>
                <w:szCs w:val="24"/>
              </w:rPr>
              <w:t xml:space="preserve">ÉCONOMIE FISCALE PRÉVISIONNELLE EVENTY AN 1</w:t>
            </w:r>
          </w:p>
          <w:p>
            <w:pPr>
              <w:spacing w:after="8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Sous réserve d'éligibilité confirmée :</w:t>
            </w:r>
          </w:p>
          <w:p>
            <w:pPr>
              <w:spacing w:after="8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JEI — Exonération IS : ≈ 107 K€ (100 % de l'IS sur résultat 322 K€)</w:t>
            </w:r>
          </w:p>
          <w:p>
            <w:pPr>
              <w:spacing w:after="8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JEI — Exonération cotisations patronales R&amp;D : ≈ 30-40 K€</w:t>
            </w:r>
          </w:p>
          <w:p>
            <w:pPr>
              <w:spacing w:after="8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CIR sur dépenses R&amp;D ≈ 250 K€ × 30 % = ≈ 75 K€</w:t>
            </w:r>
          </w:p>
          <w:p>
            <w:pPr>
              <w:spacing w:after="8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CII sur dépenses innovation ≈ 100 K€ × 20 % = ≈ 20 K€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F2D"/>
                <w:sz w:val="24"/>
                <w:szCs w:val="24"/>
              </w:rPr>
              <w:t xml:space="preserve">TOTAL économie fiscale potentielle An 1 : ≈ 230 K€ à 250 K€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Charges sociales et rémunération du dirigeant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Statut social du Président SAS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Régime général de la sécurité sociale (assimilé salarié).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Cotisations sociales sur rémunération versée — pas de cotisation si pas de rémunération versée (mais option mutuelle obligatoire).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d'allocations chômage.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Politique de rémunération recommandée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Rémunération mensuelle plafonnée pendant l'An 1 (en cohérence avec démarrage et autofinancement).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dividendes tant que la réserve volontaire 5 % CA n'est pas constituée — clause statutaire (Article 13 des Statuts).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prime variable indexée sur les fonds clients en transit.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intégrale envers l'APST : politique communiquée annuellement avec le bilan.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Déclarations annuelles et reporting APST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Calendrier comptable et fiscal annuel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Échéance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Déclaration / Action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Destinataire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31 mars N+1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Déclaration TVA marge annuelle (si option)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DGFIP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mai N+1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Déclaration de résultat (formulaire 2065 + annexes)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DGFIP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 mai N+1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Paiement IS (solde + 1er acompte N+1)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DGFIP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avril N+1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Comptes annuels validés et approuvés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Associé unique / collectivité associés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31 mai N+1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Dépôt des comptes au greffe (BODACC)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Greffe TC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Trimestrielle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Déclaration des fonds en transit + cotisation variable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APST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Annuelle (avec bilan)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Attestation expert-comptable + comptes certifiés + politique rémunération dirigeant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APST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Attestation comptable annuelle pour l'APST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Conformément à l'engagement pris dans les statuts (article 13) et dans le dossier APST (Annexe N), l'expert-comptable établit annuellement une attestation reprenant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cohérence entre les comptes annuels et le prévisionnel ayant servi de base à l'octroi de la garantie financière.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respect du ratio de marge brute, du résultat net, et de la trésorerie cumulée.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constitution effective de la réserve volontaire 5 % CA (engagement statutaire).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L'absence de difficulté de paiement caractérisée à la date de la présente attestation.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L'engagement à informer l'APST sans délai de toute évolution significative.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Mandat de l'expert-comptable — modalités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Périmètre de la mission proposée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Tenue de la comptabilité (saisie ou supervision selon volume).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Établissement des déclarations TVA mensuelles ou trimestrielles.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Établissement de la déclaration annuelle de résultat (2065 + annexes).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Établissement des comptes annuels (bilan, compte de résultat, annexe).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Sécurisation du statut JEI / JEC + dossier CIR + CII.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Attestation comptable annuelle pour l'APST.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Conseil fiscal et social courant.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Honoraires cibles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Estimation An 1 : 2 400 à 3 600 € HT/an (≈ 200 à 300 € HT/mois selon volume).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Tarification au temps passé OU au forfait selon préférence.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Suppléments éventuels : montage CIR (300 à 500 € HT), rescrit JEI (500 à 800 € HT), audit interne (300 à 500 € HT).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Durée et résiliation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Mandat conclu pour une durée d'un an, renouvelable tacitement par périodes d'un an.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Préavis de résiliation : 3 mois (côté Eventy) ou 6 mois (côté expert-comptable, en cas de cessation de la mission).</w:t>
      </w:r>
    </w:p>
    <w:p>
      <w:pPr>
        <w:spacing w:after="18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Contact direct : David Eventy — Président, Fondateur — eventylife@gmail.com — disponibilité 7j/7.</w:t>
      </w:r>
    </w:p>
    <w:p>
      <w:pPr>
        <w:spacing w:after="8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confidentiel — usage strictement réservé à l'expert-comptable spécialisé tourisme partenaire dans le cadre du mandat d'expertise comptable.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Note expert-comptable · Confidentiel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Note de référence expert-comptable</dc:title>
  <dc:creator>David Eventy — Eventy Life SAS</dc:creator>
  <dc:description>Synthèse des points comptables et fiscaux à valider avec l'expert-comptable spécialisé tourisme.</dc:description>
  <cp:lastModifiedBy>Un-named</cp:lastModifiedBy>
  <cp:revision>1</cp:revision>
  <dcterms:created xsi:type="dcterms:W3CDTF">2026-04-30T08:24:32.225Z</dcterms:created>
  <dcterms:modified xsi:type="dcterms:W3CDTF">2026-04-30T08:24:32.226Z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