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8"/>
              <w:left w:val="single" w:color="1F4E79" w:sz="18"/>
              <w:bottom w:val="single" w:color="1F4E79" w:sz="18"/>
              <w:right w:val="single" w:color="1F4E79"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1F4E79"/>
                <w:sz w:val="28"/>
                <w:szCs w:val="28"/>
              </w:rPr>
              <w:t xml:space="preserve">TERM SHEET — TOUR SEED</w:t>
            </w:r>
          </w:p>
          <w:p>
            <w:pPr>
              <w:spacing w:after="0"/>
              <w:jc w:val="center"/>
            </w:pPr>
            <w:r>
              <w:rPr>
                <w:rFonts w:ascii="Calibri" w:cs="Calibri" w:eastAsia="Calibri" w:hAnsi="Calibri"/>
                <w:i/>
                <w:iCs/>
                <w:color w:val="1F4E79"/>
                <w:sz w:val="18"/>
                <w:szCs w:val="18"/>
              </w:rPr>
              <w:t xml:space="preserve">Lettre d'intention d'investissement · modèle type · non engageante hors mention contraire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lettre d'intention (« Term Sheet ») expose les principaux termes et conditions de l'investissement envisagé par les Investisseurs Seed (ci-après « les Investisseurs ») dans la société EVENTY LIFE SAS (ci-après « la Société »). Elle a vocation à servir de base à la rédaction des documents définitifs (pacte d'associés, contrat de souscription, statuts mis à jour) et à encadrer la phase de due diligence préalable au closing.</w:t>
      </w:r>
    </w:p>
    <w:p>
      <w:pPr>
        <w:spacing w:after="100" w:line="280"/>
        <w:jc w:val="both"/>
      </w:pPr>
      <w:r>
        <w:rPr>
          <w:rFonts w:ascii="Calibri" w:cs="Calibri" w:eastAsia="Calibri" w:hAnsi="Calibri"/>
          <w:i/>
          <w:iCs/>
          <w:color w:val="555555"/>
          <w:sz w:val="20"/>
          <w:szCs w:val="20"/>
        </w:rPr>
        <w:t xml:space="preserve">Sauf mentions expressément qualifiées d'engageantes (clauses 9, 10 et 11 — exclusivité, confidentialité, frais), la présente Term Sheet n'a pas valeur d'engagement contractuel. Les engagements définitifs résulteront de la documentation finale signée à l'issue de la due diligence.</w:t>
      </w:r>
    </w:p>
    <w:p>
      <w:pPr>
        <w:spacing w:after="160" w:before="240"/>
      </w:pPr>
      <w:r>
        <w:rPr>
          <w:rFonts w:ascii="Calibri" w:cs="Calibri" w:eastAsia="Calibri" w:hAnsi="Calibri"/>
          <w:b/>
          <w:bCs/>
          <w:color w:val="1F4E79"/>
          <w:sz w:val="32"/>
          <w:szCs w:val="32"/>
        </w:rPr>
        <w:t xml:space="preserve">1. Société et Fondateur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Information</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Dénomination</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EVENTY LIFE SAS (en cours de création / récemment immatriculée)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Siège social</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[Adresse à compléter à l'immatriculation]</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Forme juridique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Société par Actions Simplifiée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Capital social actuel</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3 000 € (intégralement libéré)</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Activité</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Opérateur de voyages à forfait (NAF 7912Z) — IM Atout France [###-###-###]</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Fondateur, Président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 David Eventy</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Engagement Fondateur</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Plein temps · contre-garantie personnelle 10 K€ APST</w:t>
            </w:r>
          </w:p>
        </w:tc>
      </w:tr>
    </w:tbl>
    <w:p>
      <w:pPr>
        <w:spacing w:after="160" w:before="240"/>
      </w:pPr>
      <w:r>
        <w:rPr>
          <w:rFonts w:ascii="Calibri" w:cs="Calibri" w:eastAsia="Calibri" w:hAnsi="Calibri"/>
          <w:b/>
          <w:bCs/>
          <w:color w:val="1F4E79"/>
          <w:sz w:val="32"/>
          <w:szCs w:val="32"/>
        </w:rPr>
        <w:t xml:space="preserve">2. Investissement projeté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Paramètre</w:t>
            </w:r>
          </w:p>
        </w:tc>
        <w:tc>
          <w:tcPr>
            <w:tcW w:type="dxa" w:w="5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Valeur cible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 total levé</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200 000 € à 300 000 €</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Valorisation pré-money</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5 000 000 € (fourchette 4 à 6 M€ selon traction)</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Valorisation post-money</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5 200 000 € à 5 300 000 €</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Dilution Fondateur</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4 % à 6 %</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Forme d'investissement</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Augmentation de capital classique OU BSA-AIR (à arbitrer)</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Type d'actions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Actions ordinaires (avec droits préférentiels limités)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Calendrier cible closing</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T2-T3 An 2026</w:t>
            </w:r>
          </w:p>
        </w:tc>
      </w:tr>
    </w:tbl>
    <w:p>
      <w:pPr>
        <w:spacing w:after="160" w:before="240"/>
      </w:pPr>
      <w:r>
        <w:rPr>
          <w:rFonts w:ascii="Calibri" w:cs="Calibri" w:eastAsia="Calibri" w:hAnsi="Calibri"/>
          <w:b/>
          <w:bCs/>
          <w:color w:val="1F4E79"/>
          <w:sz w:val="32"/>
          <w:szCs w:val="32"/>
        </w:rPr>
        <w:t xml:space="preserve">3. Utilisation des fonds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Poste</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Montant cible</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 de la levée</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Recrutement Resp. opérations + CTO délégué (M2-M3)</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K€</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35-50 %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Marketing acquisition (campagnes lancement public)</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60 K€</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20-30 %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Frais juridiques (avocat tourisme + propriété intellectuelle)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20 K€</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7-10 %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Renforcement contre-garantie APST si volume &gt; prévu</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K€</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10-15 %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Trésorerie de sécurité opérationnelle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40 K€</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13-20 %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TOTAL</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200-300 K€</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bl>
    <w:p>
      <w:pPr>
        <w:spacing w:after="160" w:before="240"/>
      </w:pPr>
      <w:r>
        <w:rPr>
          <w:rFonts w:ascii="Calibri" w:cs="Calibri" w:eastAsia="Calibri" w:hAnsi="Calibri"/>
          <w:b/>
          <w:bCs/>
          <w:color w:val="1F4E79"/>
          <w:sz w:val="32"/>
          <w:szCs w:val="32"/>
        </w:rPr>
        <w:t xml:space="preserve">4. Gouvernance</w:t>
      </w:r>
    </w:p>
    <w:p>
      <w:pPr>
        <w:pStyle w:val="ListParagraph"/>
        <w:numPr>
          <w:ilvl w:val="0"/>
          <w:numId w:val="2"/>
        </w:numPr>
        <w:spacing w:after="60" w:line="260"/>
      </w:pPr>
      <w:r>
        <w:rPr>
          <w:rFonts w:ascii="Calibri" w:cs="Calibri" w:eastAsia="Calibri" w:hAnsi="Calibri"/>
          <w:sz w:val="20"/>
          <w:szCs w:val="20"/>
        </w:rPr>
        <w:t xml:space="preserve">Le Fondateur conserve la présidence de la Société et le contrôle des décisions opérationnelles courantes.</w:t>
      </w:r>
    </w:p>
    <w:p>
      <w:pPr>
        <w:pStyle w:val="ListParagraph"/>
        <w:numPr>
          <w:ilvl w:val="0"/>
          <w:numId w:val="2"/>
        </w:numPr>
        <w:spacing w:after="60" w:line="260"/>
      </w:pPr>
      <w:r>
        <w:rPr>
          <w:rFonts w:ascii="Calibri" w:cs="Calibri" w:eastAsia="Calibri" w:hAnsi="Calibri"/>
          <w:sz w:val="20"/>
          <w:szCs w:val="20"/>
        </w:rPr>
        <w:t xml:space="preserve">Constitution d'un comité d'investissement informel trimestriel ouvert aux Investisseurs représentant ensemble au moins 5 % du capital. Visioconférence acceptée.</w:t>
      </w:r>
    </w:p>
    <w:p>
      <w:pPr>
        <w:pStyle w:val="ListParagraph"/>
        <w:numPr>
          <w:ilvl w:val="0"/>
          <w:numId w:val="2"/>
        </w:numPr>
        <w:spacing w:after="60" w:line="260"/>
      </w:pPr>
      <w:r>
        <w:rPr>
          <w:rFonts w:ascii="Calibri" w:cs="Calibri" w:eastAsia="Calibri" w:hAnsi="Calibri"/>
          <w:sz w:val="20"/>
          <w:szCs w:val="20"/>
        </w:rPr>
        <w:t xml:space="preserve">Droit d'information renforcé pour les Investisseurs : reporting trimestriel financier et opérationnel ; accès aux comptes annuels et aux principaux indicateurs (CA, marge brute, voyageurs, trésorerie, ETP, NPS).</w:t>
      </w:r>
    </w:p>
    <w:p>
      <w:pPr>
        <w:pStyle w:val="ListParagraph"/>
        <w:numPr>
          <w:ilvl w:val="0"/>
          <w:numId w:val="2"/>
        </w:numPr>
        <w:spacing w:after="60" w:line="260"/>
      </w:pPr>
      <w:r>
        <w:rPr>
          <w:rFonts w:ascii="Calibri" w:cs="Calibri" w:eastAsia="Calibri" w:hAnsi="Calibri"/>
          <w:sz w:val="20"/>
          <w:szCs w:val="20"/>
        </w:rPr>
        <w:t xml:space="preserve">Aucun siège d'administrateur n'est attribué de droit aux Investisseurs Seed (gouvernance simplifiée à ce stade).</w:t>
      </w:r>
    </w:p>
    <w:p>
      <w:pPr>
        <w:pStyle w:val="ListParagraph"/>
        <w:numPr>
          <w:ilvl w:val="0"/>
          <w:numId w:val="2"/>
        </w:numPr>
        <w:spacing w:after="60" w:line="260"/>
      </w:pPr>
      <w:r>
        <w:rPr>
          <w:rFonts w:ascii="Calibri" w:cs="Calibri" w:eastAsia="Calibri" w:hAnsi="Calibri"/>
          <w:sz w:val="20"/>
          <w:szCs w:val="20"/>
        </w:rPr>
        <w:t xml:space="preserve">Désignation d'un Commissaire aux comptes facultatif possible sur demande des Investisseurs représentant ensemble au moins 10 % du capital.</w:t>
      </w:r>
    </w:p>
    <w:p>
      <w:pPr>
        <w:spacing w:after="160" w:before="240"/>
      </w:pPr>
      <w:r>
        <w:rPr>
          <w:rFonts w:ascii="Calibri" w:cs="Calibri" w:eastAsia="Calibri" w:hAnsi="Calibri"/>
          <w:b/>
          <w:bCs/>
          <w:color w:val="1F4E79"/>
          <w:sz w:val="32"/>
          <w:szCs w:val="32"/>
        </w:rPr>
        <w:t xml:space="preserve">5. Décisions soumises à droit de veto</w:t>
      </w:r>
    </w:p>
    <w:p>
      <w:pPr>
        <w:spacing w:after="100" w:line="280"/>
        <w:jc w:val="both"/>
      </w:pPr>
      <w:r>
        <w:rPr>
          <w:rFonts w:ascii="Calibri" w:cs="Calibri" w:eastAsia="Calibri" w:hAnsi="Calibri"/>
          <w:color w:val="1A1A1A"/>
          <w:sz w:val="20"/>
          <w:szCs w:val="20"/>
        </w:rPr>
        <w:t xml:space="preserve">Sans préjudice des compétences du Président, les décisions suivantes ne peuvent être prises sans l'accord préalable des Investisseurs Seed représentant au moins 50 % du capital détenu par eux :</w:t>
      </w:r>
    </w:p>
    <w:p>
      <w:pPr>
        <w:pStyle w:val="ListParagraph"/>
        <w:numPr>
          <w:ilvl w:val="0"/>
          <w:numId w:val="2"/>
        </w:numPr>
        <w:spacing w:after="60" w:line="260"/>
      </w:pPr>
      <w:r>
        <w:rPr>
          <w:rFonts w:ascii="Calibri" w:cs="Calibri" w:eastAsia="Calibri" w:hAnsi="Calibri"/>
          <w:sz w:val="20"/>
          <w:szCs w:val="20"/>
        </w:rPr>
        <w:t xml:space="preserve">Modification de l'objet social ou cessation d'une branche significative d'activité.</w:t>
      </w:r>
    </w:p>
    <w:p>
      <w:pPr>
        <w:pStyle w:val="ListParagraph"/>
        <w:numPr>
          <w:ilvl w:val="0"/>
          <w:numId w:val="2"/>
        </w:numPr>
        <w:spacing w:after="60" w:line="260"/>
      </w:pPr>
      <w:r>
        <w:rPr>
          <w:rFonts w:ascii="Calibri" w:cs="Calibri" w:eastAsia="Calibri" w:hAnsi="Calibri"/>
          <w:sz w:val="20"/>
          <w:szCs w:val="20"/>
        </w:rPr>
        <w:t xml:space="preserve">Émission de toute valeur mobilière donnant accès au capital.</w:t>
      </w:r>
    </w:p>
    <w:p>
      <w:pPr>
        <w:pStyle w:val="ListParagraph"/>
        <w:numPr>
          <w:ilvl w:val="0"/>
          <w:numId w:val="2"/>
        </w:numPr>
        <w:spacing w:after="60" w:line="260"/>
      </w:pPr>
      <w:r>
        <w:rPr>
          <w:rFonts w:ascii="Calibri" w:cs="Calibri" w:eastAsia="Calibri" w:hAnsi="Calibri"/>
          <w:sz w:val="20"/>
          <w:szCs w:val="20"/>
        </w:rPr>
        <w:t xml:space="preserve">Cession d'actifs significatifs (&gt; 25 % du total bilan).</w:t>
      </w:r>
    </w:p>
    <w:p>
      <w:pPr>
        <w:pStyle w:val="ListParagraph"/>
        <w:numPr>
          <w:ilvl w:val="0"/>
          <w:numId w:val="2"/>
        </w:numPr>
        <w:spacing w:after="60" w:line="260"/>
      </w:pPr>
      <w:r>
        <w:rPr>
          <w:rFonts w:ascii="Calibri" w:cs="Calibri" w:eastAsia="Calibri" w:hAnsi="Calibri"/>
          <w:sz w:val="20"/>
          <w:szCs w:val="20"/>
        </w:rPr>
        <w:t xml:space="preserve">Endettement bancaire significatif (&gt; 500 K€ ou &gt; 10 % du CA prévisionnel annuel).</w:t>
      </w:r>
    </w:p>
    <w:p>
      <w:pPr>
        <w:pStyle w:val="ListParagraph"/>
        <w:numPr>
          <w:ilvl w:val="0"/>
          <w:numId w:val="2"/>
        </w:numPr>
        <w:spacing w:after="60" w:line="260"/>
      </w:pPr>
      <w:r>
        <w:rPr>
          <w:rFonts w:ascii="Calibri" w:cs="Calibri" w:eastAsia="Calibri" w:hAnsi="Calibri"/>
          <w:sz w:val="20"/>
          <w:szCs w:val="20"/>
        </w:rPr>
        <w:t xml:space="preserve">Changement de Président ou de Directeur Général.</w:t>
      </w:r>
    </w:p>
    <w:p>
      <w:pPr>
        <w:pStyle w:val="ListParagraph"/>
        <w:numPr>
          <w:ilvl w:val="0"/>
          <w:numId w:val="2"/>
        </w:numPr>
        <w:spacing w:after="60" w:line="260"/>
      </w:pPr>
      <w:r>
        <w:rPr>
          <w:rFonts w:ascii="Calibri" w:cs="Calibri" w:eastAsia="Calibri" w:hAnsi="Calibri"/>
          <w:sz w:val="20"/>
          <w:szCs w:val="20"/>
        </w:rPr>
        <w:t xml:space="preserve">Distribution exceptionnelle de dividendes.</w:t>
      </w:r>
    </w:p>
    <w:p>
      <w:pPr>
        <w:pStyle w:val="ListParagraph"/>
        <w:numPr>
          <w:ilvl w:val="0"/>
          <w:numId w:val="2"/>
        </w:numPr>
        <w:spacing w:after="60" w:line="260"/>
      </w:pPr>
      <w:r>
        <w:rPr>
          <w:rFonts w:ascii="Calibri" w:cs="Calibri" w:eastAsia="Calibri" w:hAnsi="Calibri"/>
          <w:sz w:val="20"/>
          <w:szCs w:val="20"/>
        </w:rPr>
        <w:t xml:space="preserve">Toute opération de restructuration, fusion, scission, dissolution.</w:t>
      </w:r>
    </w:p>
    <w:p>
      <w:pPr>
        <w:spacing w:after="160" w:before="240"/>
      </w:pPr>
      <w:r>
        <w:rPr>
          <w:rFonts w:ascii="Calibri" w:cs="Calibri" w:eastAsia="Calibri" w:hAnsi="Calibri"/>
          <w:b/>
          <w:bCs/>
          <w:color w:val="1F4E79"/>
          <w:sz w:val="32"/>
          <w:szCs w:val="32"/>
        </w:rPr>
        <w:t xml:space="preserve">6. Droits des Investisseurs</w:t>
      </w:r>
    </w:p>
    <w:p>
      <w:pPr>
        <w:spacing w:after="100" w:before="220"/>
      </w:pPr>
      <w:r>
        <w:rPr>
          <w:rFonts w:ascii="Calibri" w:cs="Calibri" w:eastAsia="Calibri" w:hAnsi="Calibri"/>
          <w:b/>
          <w:bCs/>
          <w:color w:val="E87722"/>
          <w:sz w:val="22"/>
          <w:szCs w:val="22"/>
        </w:rPr>
        <w:t xml:space="preserve">6.1. Anti-dilution</w:t>
      </w:r>
    </w:p>
    <w:p>
      <w:pPr>
        <w:spacing w:after="100" w:line="280"/>
        <w:jc w:val="both"/>
      </w:pPr>
      <w:r>
        <w:rPr>
          <w:rFonts w:ascii="Calibri" w:cs="Calibri" w:eastAsia="Calibri" w:hAnsi="Calibri"/>
          <w:color w:val="1A1A1A"/>
          <w:sz w:val="20"/>
          <w:szCs w:val="20"/>
        </w:rPr>
        <w:t xml:space="preserve">En cas d'augmentation de capital ultérieure (Série A ou suivantes) à un prix par action inférieur au prix de souscription du tour Seed, les Investisseurs bénéficient d'un mécanisme d'anti-dilution dit « weighted average broad-based » permettant de réajuster leur participation.</w:t>
      </w:r>
    </w:p>
    <w:p>
      <w:pPr>
        <w:spacing w:after="100" w:before="220"/>
      </w:pPr>
      <w:r>
        <w:rPr>
          <w:rFonts w:ascii="Calibri" w:cs="Calibri" w:eastAsia="Calibri" w:hAnsi="Calibri"/>
          <w:b/>
          <w:bCs/>
          <w:color w:val="E87722"/>
          <w:sz w:val="22"/>
          <w:szCs w:val="22"/>
        </w:rPr>
        <w:t xml:space="preserve">6.2. Liquidation préférence</w:t>
      </w:r>
    </w:p>
    <w:p>
      <w:pPr>
        <w:spacing w:after="100" w:line="280"/>
        <w:jc w:val="both"/>
      </w:pPr>
      <w:r>
        <w:rPr>
          <w:rFonts w:ascii="Calibri" w:cs="Calibri" w:eastAsia="Calibri" w:hAnsi="Calibri"/>
          <w:color w:val="1A1A1A"/>
          <w:sz w:val="20"/>
          <w:szCs w:val="20"/>
        </w:rPr>
        <w:t xml:space="preserve">En cas d'opération de liquidation, vente, fusion, ou tout événement assimilé entraînant une distribution aux associés, les Investisseurs Seed bénéficient d'une préférence de liquidation égale à une (1) fois leur investissement, en non-participating (« 1× non-participating »). Au-delà, le solde est réparti au prorata de la participation au capital.</w:t>
      </w:r>
    </w:p>
    <w:p>
      <w:pPr>
        <w:spacing w:after="100" w:before="220"/>
      </w:pPr>
      <w:r>
        <w:rPr>
          <w:rFonts w:ascii="Calibri" w:cs="Calibri" w:eastAsia="Calibri" w:hAnsi="Calibri"/>
          <w:b/>
          <w:bCs/>
          <w:color w:val="E87722"/>
          <w:sz w:val="22"/>
          <w:szCs w:val="22"/>
        </w:rPr>
        <w:t xml:space="preserve">6.3. Droits de cession</w:t>
      </w:r>
    </w:p>
    <w:p>
      <w:pPr>
        <w:pStyle w:val="ListParagraph"/>
        <w:numPr>
          <w:ilvl w:val="0"/>
          <w:numId w:val="2"/>
        </w:numPr>
        <w:spacing w:after="60" w:line="260"/>
      </w:pPr>
      <w:r>
        <w:rPr>
          <w:rFonts w:ascii="Calibri" w:cs="Calibri" w:eastAsia="Calibri" w:hAnsi="Calibri"/>
          <w:sz w:val="20"/>
          <w:szCs w:val="20"/>
        </w:rPr>
        <w:t xml:space="preserve">Droit de préemption proportionnel sur toute cession d'actions par un autre associé · délai 30 jours.</w:t>
      </w:r>
    </w:p>
    <w:p>
      <w:pPr>
        <w:pStyle w:val="ListParagraph"/>
        <w:numPr>
          <w:ilvl w:val="0"/>
          <w:numId w:val="2"/>
        </w:numPr>
        <w:spacing w:after="60" w:line="260"/>
      </w:pPr>
      <w:r>
        <w:rPr>
          <w:rFonts w:ascii="Calibri" w:cs="Calibri" w:eastAsia="Calibri" w:hAnsi="Calibri"/>
          <w:sz w:val="20"/>
          <w:szCs w:val="20"/>
        </w:rPr>
        <w:t xml:space="preserve">Tag-along (sortie conjointe) : si le Fondateur cède plus de 25 % de ses actions à un tiers, les Investisseurs peuvent céder leurs propres actions au même tiers, aux mêmes conditions.</w:t>
      </w:r>
    </w:p>
    <w:p>
      <w:pPr>
        <w:pStyle w:val="ListParagraph"/>
        <w:numPr>
          <w:ilvl w:val="0"/>
          <w:numId w:val="2"/>
        </w:numPr>
        <w:spacing w:after="60" w:line="260"/>
      </w:pPr>
      <w:r>
        <w:rPr>
          <w:rFonts w:ascii="Calibri" w:cs="Calibri" w:eastAsia="Calibri" w:hAnsi="Calibri"/>
          <w:sz w:val="20"/>
          <w:szCs w:val="20"/>
        </w:rPr>
        <w:t xml:space="preserve">Drag-along (entraînement) : en cas d'offre tierce de bonne foi portant sur 100 % du capital à un prix au moins égal à 5× la valorisation post-money Seed, les associés détenant &gt; 75 % du capital peuvent contraindre les minoritaires à céder.</w:t>
      </w:r>
    </w:p>
    <w:p>
      <w:pPr>
        <w:spacing w:after="160" w:before="240"/>
      </w:pPr>
      <w:r>
        <w:rPr>
          <w:rFonts w:ascii="Calibri" w:cs="Calibri" w:eastAsia="Calibri" w:hAnsi="Calibri"/>
          <w:b/>
          <w:bCs/>
          <w:color w:val="1F4E79"/>
          <w:sz w:val="32"/>
          <w:szCs w:val="32"/>
        </w:rPr>
        <w:t xml:space="preserve">7. Engagements du Fondateur</w:t>
      </w:r>
    </w:p>
    <w:p>
      <w:pPr>
        <w:pStyle w:val="ListParagraph"/>
        <w:numPr>
          <w:ilvl w:val="0"/>
          <w:numId w:val="2"/>
        </w:numPr>
        <w:spacing w:after="60" w:line="260"/>
      </w:pPr>
      <w:r>
        <w:rPr>
          <w:rFonts w:ascii="Calibri" w:cs="Calibri" w:eastAsia="Calibri" w:hAnsi="Calibri"/>
          <w:sz w:val="20"/>
          <w:szCs w:val="20"/>
        </w:rPr>
        <w:t xml:space="preserve">Engagement de plein temps : consacrer la totalité de son temps professionnel à la Société (sauf activité accessoire mineure préalablement notifiée et acceptée).</w:t>
      </w:r>
    </w:p>
    <w:p>
      <w:pPr>
        <w:pStyle w:val="ListParagraph"/>
        <w:numPr>
          <w:ilvl w:val="0"/>
          <w:numId w:val="2"/>
        </w:numPr>
        <w:spacing w:after="60" w:line="260"/>
      </w:pPr>
      <w:r>
        <w:rPr>
          <w:rFonts w:ascii="Calibri" w:cs="Calibri" w:eastAsia="Calibri" w:hAnsi="Calibri"/>
          <w:sz w:val="20"/>
          <w:szCs w:val="20"/>
        </w:rPr>
        <w:t xml:space="preserve">Inaliénabilité : ne pas céder tout ou partie de ses actions pendant 36 mois minimum à compter de la signature du pacte, sauf accord exprès des Investisseurs représentant ≥ 75 % du capital qu'ils détiennent.</w:t>
      </w:r>
    </w:p>
    <w:p>
      <w:pPr>
        <w:pStyle w:val="ListParagraph"/>
        <w:numPr>
          <w:ilvl w:val="0"/>
          <w:numId w:val="2"/>
        </w:numPr>
        <w:spacing w:after="60" w:line="260"/>
      </w:pPr>
      <w:r>
        <w:rPr>
          <w:rFonts w:ascii="Calibri" w:cs="Calibri" w:eastAsia="Calibri" w:hAnsi="Calibri"/>
          <w:sz w:val="20"/>
          <w:szCs w:val="20"/>
        </w:rPr>
        <w:t xml:space="preserve">Non-concurrence : pas d'activité concurrente pendant la durée du pacte et 12 mois après cessation des fonctions.</w:t>
      </w:r>
    </w:p>
    <w:p>
      <w:pPr>
        <w:pStyle w:val="ListParagraph"/>
        <w:numPr>
          <w:ilvl w:val="0"/>
          <w:numId w:val="2"/>
        </w:numPr>
        <w:spacing w:after="60" w:line="260"/>
      </w:pPr>
      <w:r>
        <w:rPr>
          <w:rFonts w:ascii="Calibri" w:cs="Calibri" w:eastAsia="Calibri" w:hAnsi="Calibri"/>
          <w:sz w:val="20"/>
          <w:szCs w:val="20"/>
        </w:rPr>
        <w:t xml:space="preserve">Maintien permanent de la garantie financière APST et de la RC Pro Tourisme.</w:t>
      </w:r>
    </w:p>
    <w:p>
      <w:pPr>
        <w:pStyle w:val="ListParagraph"/>
        <w:numPr>
          <w:ilvl w:val="0"/>
          <w:numId w:val="2"/>
        </w:numPr>
        <w:spacing w:after="60" w:line="260"/>
      </w:pPr>
      <w:r>
        <w:rPr>
          <w:rFonts w:ascii="Calibri" w:cs="Calibri" w:eastAsia="Calibri" w:hAnsi="Calibri"/>
          <w:sz w:val="20"/>
          <w:szCs w:val="20"/>
        </w:rPr>
        <w:t xml:space="preserve">Maintien de la réserve volontaire 5 % CA conformément à l'article 13 des statuts.</w:t>
      </w:r>
    </w:p>
    <w:p>
      <w:pPr>
        <w:spacing w:after="160" w:before="240"/>
      </w:pPr>
      <w:r>
        <w:rPr>
          <w:rFonts w:ascii="Calibri" w:cs="Calibri" w:eastAsia="Calibri" w:hAnsi="Calibri"/>
          <w:b/>
          <w:bCs/>
          <w:color w:val="1F4E79"/>
          <w:sz w:val="32"/>
          <w:szCs w:val="32"/>
        </w:rPr>
        <w:t xml:space="preserve">8. Due diligence</w:t>
      </w:r>
    </w:p>
    <w:p>
      <w:pPr>
        <w:spacing w:after="100" w:line="280"/>
        <w:jc w:val="both"/>
      </w:pPr>
      <w:r>
        <w:rPr>
          <w:rFonts w:ascii="Calibri" w:cs="Calibri" w:eastAsia="Calibri" w:hAnsi="Calibri"/>
          <w:color w:val="1A1A1A"/>
          <w:sz w:val="20"/>
          <w:szCs w:val="20"/>
        </w:rPr>
        <w:t xml:space="preserve">L'investissement est conditionné à la réalisation, à la satisfaction des Investisseurs, d'une due diligence financière, juridique, fiscale et opérationnelle de la Société. La due diligence portera notamment sur :</w:t>
      </w:r>
    </w:p>
    <w:p>
      <w:pPr>
        <w:pStyle w:val="ListParagraph"/>
        <w:numPr>
          <w:ilvl w:val="0"/>
          <w:numId w:val="2"/>
        </w:numPr>
        <w:spacing w:after="60" w:line="260"/>
      </w:pPr>
      <w:r>
        <w:rPr>
          <w:rFonts w:ascii="Calibri" w:cs="Calibri" w:eastAsia="Calibri" w:hAnsi="Calibri"/>
          <w:sz w:val="20"/>
          <w:szCs w:val="20"/>
        </w:rPr>
        <w:t xml:space="preserve">Conformité réglementaire (Atout France, APST, RC Pro, RGPD).</w:t>
      </w:r>
    </w:p>
    <w:p>
      <w:pPr>
        <w:pStyle w:val="ListParagraph"/>
        <w:numPr>
          <w:ilvl w:val="0"/>
          <w:numId w:val="2"/>
        </w:numPr>
        <w:spacing w:after="60" w:line="260"/>
      </w:pPr>
      <w:r>
        <w:rPr>
          <w:rFonts w:ascii="Calibri" w:cs="Calibri" w:eastAsia="Calibri" w:hAnsi="Calibri"/>
          <w:sz w:val="20"/>
          <w:szCs w:val="20"/>
        </w:rPr>
        <w:t xml:space="preserve">Plateforme technique (audit code, architecture, sécurité).</w:t>
      </w:r>
    </w:p>
    <w:p>
      <w:pPr>
        <w:pStyle w:val="ListParagraph"/>
        <w:numPr>
          <w:ilvl w:val="0"/>
          <w:numId w:val="2"/>
        </w:numPr>
        <w:spacing w:after="60" w:line="260"/>
      </w:pPr>
      <w:r>
        <w:rPr>
          <w:rFonts w:ascii="Calibri" w:cs="Calibri" w:eastAsia="Calibri" w:hAnsi="Calibri"/>
          <w:sz w:val="20"/>
          <w:szCs w:val="20"/>
        </w:rPr>
        <w:t xml:space="preserve">Comptes prévisionnels et hypothèses sous-jacentes.</w:t>
      </w:r>
    </w:p>
    <w:p>
      <w:pPr>
        <w:pStyle w:val="ListParagraph"/>
        <w:numPr>
          <w:ilvl w:val="0"/>
          <w:numId w:val="2"/>
        </w:numPr>
        <w:spacing w:after="60" w:line="260"/>
      </w:pPr>
      <w:r>
        <w:rPr>
          <w:rFonts w:ascii="Calibri" w:cs="Calibri" w:eastAsia="Calibri" w:hAnsi="Calibri"/>
          <w:sz w:val="20"/>
          <w:szCs w:val="20"/>
        </w:rPr>
        <w:t xml:space="preserve">Statut juridique des partenaires (créateurs, vendeurs, HRA).</w:t>
      </w:r>
    </w:p>
    <w:p>
      <w:pPr>
        <w:pStyle w:val="ListParagraph"/>
        <w:numPr>
          <w:ilvl w:val="0"/>
          <w:numId w:val="2"/>
        </w:numPr>
        <w:spacing w:after="60" w:line="260"/>
      </w:pPr>
      <w:r>
        <w:rPr>
          <w:rFonts w:ascii="Calibri" w:cs="Calibri" w:eastAsia="Calibri" w:hAnsi="Calibri"/>
          <w:sz w:val="20"/>
          <w:szCs w:val="20"/>
        </w:rPr>
        <w:t xml:space="preserve">Risques identifiés et plan de continuité.</w:t>
      </w:r>
    </w:p>
    <w:p>
      <w:pPr>
        <w:spacing w:after="100" w:line="280"/>
        <w:jc w:val="both"/>
      </w:pPr>
      <w:r>
        <w:rPr>
          <w:rFonts w:ascii="Calibri" w:cs="Calibri" w:eastAsia="Calibri" w:hAnsi="Calibri"/>
          <w:color w:val="1A1A1A"/>
          <w:sz w:val="20"/>
          <w:szCs w:val="20"/>
        </w:rPr>
        <w:t xml:space="preserve">La due diligence sera conduite par les conseils des Investisseurs (avocat, expert-comptable) avec le concours du Fondateur. Durée estimée : 4 à 6 semaines.</w:t>
      </w:r>
    </w:p>
    <w:p>
      <w:pPr>
        <w:spacing w:after="160" w:before="240"/>
      </w:pPr>
      <w:r>
        <w:rPr>
          <w:rFonts w:ascii="Calibri" w:cs="Calibri" w:eastAsia="Calibri" w:hAnsi="Calibri"/>
          <w:b/>
          <w:bCs/>
          <w:color w:val="1F4E79"/>
          <w:sz w:val="32"/>
          <w:szCs w:val="32"/>
        </w:rPr>
        <w:t xml:space="preserve">9. Exclusivité (clause engageante)</w:t>
      </w:r>
    </w:p>
    <w:p>
      <w:pPr>
        <w:spacing w:after="100" w:line="280"/>
        <w:jc w:val="both"/>
      </w:pPr>
      <w:r>
        <w:rPr>
          <w:rFonts w:ascii="Calibri" w:cs="Calibri" w:eastAsia="Calibri" w:hAnsi="Calibri"/>
          <w:color w:val="1A1A1A"/>
          <w:sz w:val="20"/>
          <w:szCs w:val="20"/>
        </w:rPr>
        <w:t xml:space="preserve">Le Fondateur s'engage, à compter de la signature de la présente Term Sheet et pour une durée de soixante (60) jours calendaires, à ne pas négocier ou conclure avec un tiers tout investissement, levée de fonds, cession d'actions ou opération assimilée susceptible de remettre en cause l'opération projetée, sauf accord exprès et écrit des Investisseurs.</w:t>
      </w:r>
    </w:p>
    <w:p>
      <w:pPr>
        <w:spacing w:after="160" w:before="240"/>
      </w:pPr>
      <w:r>
        <w:rPr>
          <w:rFonts w:ascii="Calibri" w:cs="Calibri" w:eastAsia="Calibri" w:hAnsi="Calibri"/>
          <w:b/>
          <w:bCs/>
          <w:color w:val="1F4E79"/>
          <w:sz w:val="32"/>
          <w:szCs w:val="32"/>
        </w:rPr>
        <w:t xml:space="preserve">10. Confidentialité (clause engageante)</w:t>
      </w:r>
    </w:p>
    <w:p>
      <w:pPr>
        <w:spacing w:after="100" w:line="280"/>
        <w:jc w:val="both"/>
      </w:pPr>
      <w:r>
        <w:rPr>
          <w:rFonts w:ascii="Calibri" w:cs="Calibri" w:eastAsia="Calibri" w:hAnsi="Calibri"/>
          <w:color w:val="1A1A1A"/>
          <w:sz w:val="20"/>
          <w:szCs w:val="20"/>
        </w:rPr>
        <w:t xml:space="preserve">Les Parties s'engagent à respecter la stricte confidentialité des informations échangées dans le cadre de la présente négociation et de la due diligence. Cette obligation perdure deux (2) ans à compter de la signature de la Term Sheet, qu'un closing intervienne ou non.</w:t>
      </w:r>
    </w:p>
    <w:p>
      <w:pPr>
        <w:spacing w:after="160" w:before="240"/>
      </w:pPr>
      <w:r>
        <w:rPr>
          <w:rFonts w:ascii="Calibri" w:cs="Calibri" w:eastAsia="Calibri" w:hAnsi="Calibri"/>
          <w:b/>
          <w:bCs/>
          <w:color w:val="1F4E79"/>
          <w:sz w:val="32"/>
          <w:szCs w:val="32"/>
        </w:rPr>
        <w:t xml:space="preserve">11. Frais (clause engageante)</w:t>
      </w:r>
    </w:p>
    <w:p>
      <w:pPr>
        <w:pStyle w:val="ListParagraph"/>
        <w:numPr>
          <w:ilvl w:val="0"/>
          <w:numId w:val="2"/>
        </w:numPr>
        <w:spacing w:after="60" w:line="260"/>
      </w:pPr>
      <w:r>
        <w:rPr>
          <w:rFonts w:ascii="Calibri" w:cs="Calibri" w:eastAsia="Calibri" w:hAnsi="Calibri"/>
          <w:sz w:val="20"/>
          <w:szCs w:val="20"/>
        </w:rPr>
        <w:t xml:space="preserve">Chaque Partie supporte ses propres frais de conseil (avocat, expert-comptable, etc.).</w:t>
      </w:r>
    </w:p>
    <w:p>
      <w:pPr>
        <w:pStyle w:val="ListParagraph"/>
        <w:numPr>
          <w:ilvl w:val="0"/>
          <w:numId w:val="2"/>
        </w:numPr>
        <w:spacing w:after="60" w:line="260"/>
      </w:pPr>
      <w:r>
        <w:rPr>
          <w:rFonts w:ascii="Calibri" w:cs="Calibri" w:eastAsia="Calibri" w:hAnsi="Calibri"/>
          <w:sz w:val="20"/>
          <w:szCs w:val="20"/>
        </w:rPr>
        <w:t xml:space="preserve">En cas de closing effectif, la Société remboursera aux Investisseurs Seed leurs frais de due diligence dans la limite globale de 10 K€ (vingt mille euros).</w:t>
      </w:r>
    </w:p>
    <w:p>
      <w:pPr>
        <w:pStyle w:val="ListParagraph"/>
        <w:numPr>
          <w:ilvl w:val="0"/>
          <w:numId w:val="2"/>
        </w:numPr>
        <w:spacing w:after="60" w:line="260"/>
      </w:pPr>
      <w:r>
        <w:rPr>
          <w:rFonts w:ascii="Calibri" w:cs="Calibri" w:eastAsia="Calibri" w:hAnsi="Calibri"/>
          <w:sz w:val="20"/>
          <w:szCs w:val="20"/>
        </w:rPr>
        <w:t xml:space="preserve">En cas de non-closing imputable au Fondateur (rupture unilatérale, manquement à l'exclusivité), la Société remboursera aux Investisseurs leurs frais effectifs dans la limite globale de 5 K€.</w:t>
      </w:r>
    </w:p>
    <w:p>
      <w:pPr>
        <w:spacing w:after="160" w:before="240"/>
      </w:pPr>
      <w:r>
        <w:rPr>
          <w:rFonts w:ascii="Calibri" w:cs="Calibri" w:eastAsia="Calibri" w:hAnsi="Calibri"/>
          <w:b/>
          <w:bCs/>
          <w:color w:val="1F4E79"/>
          <w:sz w:val="32"/>
          <w:szCs w:val="32"/>
        </w:rPr>
        <w:t xml:space="preserve">12. Calendrier indicatif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Étape</w:t>
            </w:r>
          </w:p>
        </w:tc>
        <w:tc>
          <w:tcPr>
            <w:tcW w:type="dxa" w:w="4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Action</w:t>
            </w:r>
          </w:p>
        </w:tc>
        <w:tc>
          <w:tcPr>
            <w:tcW w:type="dxa" w:w="2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Délai indicatif</w:t>
            </w:r>
          </w:p>
        </w:tc>
      </w:tr>
      <w:tr>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J0</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Signature de la Term Sheet</w:t>
            </w:r>
          </w:p>
        </w:tc>
        <w:tc>
          <w:tcPr>
            <w:tcW w:type="dxa" w:w="2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T0</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+ 7</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Mise à disposition de la data room</w:t>
            </w:r>
          </w:p>
        </w:tc>
        <w:tc>
          <w:tcPr>
            <w:tcW w:type="dxa" w:w="2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Semaine 1</w:t>
            </w:r>
          </w:p>
        </w:tc>
      </w:tr>
      <w:tr>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+ 7 à J + 35</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Due diligence</w:t>
            </w:r>
          </w:p>
        </w:tc>
        <w:tc>
          <w:tcPr>
            <w:tcW w:type="dxa" w:w="2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Semaines 1 à 5</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+ 35 à J + 50</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Rédaction documentation finale</w:t>
            </w:r>
          </w:p>
        </w:tc>
        <w:tc>
          <w:tcPr>
            <w:tcW w:type="dxa" w:w="2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Semaines 5 à 7</w:t>
            </w:r>
          </w:p>
        </w:tc>
      </w:tr>
      <w:tr>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+ 50 à J + 60</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Closing : signature + virement</w:t>
            </w:r>
          </w:p>
        </w:tc>
        <w:tc>
          <w:tcPr>
            <w:tcW w:type="dxa" w:w="2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Semaine 8-9</w:t>
            </w:r>
          </w:p>
        </w:tc>
      </w:tr>
    </w:tbl>
    <w:p>
      <w:pPr>
        <w:spacing w:after="160" w:before="240"/>
      </w:pPr>
      <w:r>
        <w:rPr>
          <w:rFonts w:ascii="Calibri" w:cs="Calibri" w:eastAsia="Calibri" w:hAnsi="Calibri"/>
          <w:b/>
          <w:bCs/>
          <w:color w:val="1F4E79"/>
          <w:sz w:val="32"/>
          <w:szCs w:val="32"/>
        </w:rPr>
        <w:t xml:space="preserve">13. Acceptation</w:t>
      </w:r>
    </w:p>
    <w:p>
      <w:pPr>
        <w:spacing w:after="100" w:line="280"/>
        <w:jc w:val="both"/>
      </w:pPr>
      <w:r>
        <w:rPr>
          <w:rFonts w:ascii="Calibri" w:cs="Calibri" w:eastAsia="Calibri" w:hAnsi="Calibri"/>
          <w:color w:val="1A1A1A"/>
          <w:sz w:val="20"/>
          <w:szCs w:val="20"/>
        </w:rPr>
        <w:t xml:space="preserve">La présente Term Sheet est valable jusqu'à la date du [date à compléter]. Au-delà, elle est réputée caduque sauf renouvellement exprès. La signature de la Term Sheet par le Fondateur et chacun des Investisseurs vaut acceptation des termes ci-dessus, étant rappelé que seules les clauses 9, 10 et 11 sont engageantes.</w:t>
      </w:r>
    </w:p>
    <w:p>
      <w:pPr>
        <w:spacing w:after="200"/>
      </w:pPr>
      <w:r>
        <w:t xml:space="preserve"/>
      </w:r>
    </w:p>
    <w:p>
      <w:pPr>
        <w:spacing w:after="200" w:line="280"/>
        <w:jc w:val="both"/>
      </w:pPr>
      <w:r>
        <w:rPr>
          <w:rFonts w:ascii="Calibri" w:cs="Calibri" w:eastAsia="Calibri" w:hAnsi="Calibri"/>
          <w:i/>
          <w:iCs/>
          <w:color w:val="1A1A1A"/>
          <w:sz w:val="20"/>
          <w:szCs w:val="20"/>
        </w:rPr>
        <w:t xml:space="preserve">Fait à [Ville], le [Date], en autant d'originaux que de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Pour la Société et le Fondateur</w:t>
            </w:r>
          </w:p>
          <w:p>
            <w:pPr>
              <w:spacing w:after="360" w:before="80"/>
              <w:jc w:val="center"/>
            </w:pPr>
            <w:r>
              <w:rPr>
                <w:rFonts w:ascii="Calibri" w:cs="Calibri" w:eastAsia="Calibri" w:hAnsi="Calibri"/>
                <w:sz w:val="18"/>
                <w:szCs w:val="18"/>
              </w:rPr>
              <w:t xml:space="preserve">M. David Eventy, Président</w:t>
            </w:r>
          </w:p>
          <w:p>
            <w:pPr>
              <w:jc w:val="center"/>
            </w:pPr>
            <w:r>
              <w:rPr>
                <w:rFonts w:ascii="Calibri" w:cs="Calibri" w:eastAsia="Calibri" w:hAnsi="Calibri"/>
                <w:i/>
                <w:iCs/>
                <w:color w:val="555555"/>
                <w:sz w:val="16"/>
                <w:szCs w:val="16"/>
              </w:rPr>
              <w:t xml:space="preserve">(signature manuscrite + date)</w:t>
            </w:r>
          </w:p>
        </w:tc>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Pour les Investisseurs Seed</w:t>
            </w:r>
          </w:p>
          <w:p>
            <w:pPr>
              <w:spacing w:after="360" w:before="80"/>
              <w:jc w:val="center"/>
            </w:pPr>
            <w:r>
              <w:rPr>
                <w:rFonts w:ascii="Calibri" w:cs="Calibri" w:eastAsia="Calibri" w:hAnsi="Calibri"/>
                <w:sz w:val="18"/>
                <w:szCs w:val="18"/>
              </w:rPr>
              <w:t xml:space="preserve">[Nom Prénom + qualité]</w:t>
            </w:r>
          </w:p>
          <w:p>
            <w:pPr>
              <w:jc w:val="center"/>
            </w:pPr>
            <w:r>
              <w:rPr>
                <w:rFonts w:ascii="Calibri" w:cs="Calibri" w:eastAsia="Calibri" w:hAnsi="Calibri"/>
                <w:i/>
                <w:iCs/>
                <w:color w:val="555555"/>
                <w:sz w:val="16"/>
                <w:szCs w:val="16"/>
              </w:rPr>
              <w:t xml:space="preserve">(signature manuscrite + date + cachet)</w:t>
            </w:r>
          </w:p>
        </w:tc>
      </w:tr>
    </w:tbl>
    <w:p>
      <w:pPr>
        <w:spacing w:after="160"/>
      </w:pPr>
      <w:r>
        <w:t xml:space="preserve"/>
      </w:r>
    </w:p>
    <w:p>
      <w:pPr>
        <w:spacing w:after="100" w:line="280"/>
        <w:jc w:val="both"/>
      </w:pPr>
      <w:r>
        <w:rPr>
          <w:rFonts w:ascii="Calibri" w:cs="Calibri" w:eastAsia="Calibri" w:hAnsi="Calibri"/>
          <w:i/>
          <w:iCs/>
          <w:color w:val="555555"/>
          <w:sz w:val="18"/>
          <w:szCs w:val="18"/>
        </w:rPr>
        <w:t xml:space="preserve">Modèle TYPE — à finaliser avec un avocat spécialisé en capital-risque avant signature. Les clauses précises (taux d'intérêt sur BSA-AIR, ratchet, vesting éventuel, options pool) sont à compléter au moment de la levée effective.</w:t>
      </w:r>
    </w:p>
    <w:p>
      <w:pPr>
        <w:spacing w:after="100" w:line="280"/>
        <w:jc w:val="both"/>
      </w:pPr>
      <w:r>
        <w:rPr>
          <w:rFonts w:ascii="Calibri" w:cs="Calibri" w:eastAsia="Calibri" w:hAnsi="Calibri"/>
          <w:i/>
          <w:iCs/>
          <w:color w:val="555555"/>
          <w:sz w:val="18"/>
          <w:szCs w:val="18"/>
        </w:rPr>
        <w:t xml:space="preserve">Document de référence : voir Eventy-Life-Pacte-Associes-Seed.pdf pour la déclinaison complète des clauses post-closing.</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Term Sheet Seed · Confidentiel</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Term Sheet Seed (lettre d'intention investisseur)</dc:title>
  <dc:creator>David Eventy — Eventy Life SAS</dc:creator>
  <dc:description>Modèle de Term Sheet pour la levée de fonds Seed Eventy Life.</dc:description>
  <cp:lastModifiedBy>Un-named</cp:lastModifiedBy>
  <cp:revision>1</cp:revision>
  <dcterms:created xsi:type="dcterms:W3CDTF">2026-04-30T08:24:32.349Z</dcterms:created>
  <dcterms:modified xsi:type="dcterms:W3CDTF">2026-04-30T08:24:32.349Z</dcterms:modified>
</cp:coreProperties>
</file>

<file path=docProps/custom.xml><?xml version="1.0" encoding="utf-8"?>
<Properties xmlns="http://schemas.openxmlformats.org/officeDocument/2006/custom-properties" xmlns:vt="http://schemas.openxmlformats.org/officeDocument/2006/docPropsVTypes"/>
</file>