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PV D'ASSEMBLÉE GÉNÉRALE ORDINAIRE ANNUELLE</w:t>
            </w:r>
          </w:p>
          <w:p>
            <w:pPr>
              <w:spacing w:after="0"/>
              <w:jc w:val="center"/>
            </w:pPr>
            <w:r>
              <w:rPr>
                <w:rFonts w:ascii="Calibri" w:cs="Calibri" w:eastAsia="Calibri" w:hAnsi="Calibri"/>
                <w:i/>
                <w:iCs/>
                <w:color w:val="1F4E79"/>
                <w:sz w:val="18"/>
                <w:szCs w:val="18"/>
              </w:rPr>
              <w:t xml:space="preserve">Modèle type — approbation des comptes annuels Eventy Life SAS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document est un modèle de procès-verbal (PV) d'assemblée générale ordinaire annuelle d'EVENTY LIFE SAS, à adapter chaque année lors de l'approbation des comptes annuels. Il respecte les obligations du Code de commerce (articles L227-9 et L232-1 et suivants) et les statuts de la SAS.</w:t>
      </w:r>
    </w:p>
    <w:p>
      <w:pPr>
        <w:spacing w:after="100" w:line="280"/>
        <w:jc w:val="both"/>
      </w:pPr>
      <w:r>
        <w:rPr>
          <w:rFonts w:ascii="Calibri" w:cs="Calibri" w:eastAsia="Calibri" w:hAnsi="Calibri"/>
          <w:i/>
          <w:iCs/>
          <w:color w:val="1A1A1A"/>
          <w:sz w:val="20"/>
          <w:szCs w:val="20"/>
        </w:rPr>
        <w:t xml:space="preserve">Conformément aux statuts d'EVENTY LIFE SAS, l'assemblée générale ordinaire annuelle se tient dans les six (6) mois suivant la clôture de l'exercice (soit avant le 30 juin pour un exercice clos le 31 décembre). Elle approuve les comptes annuels, donne quitus au Président, statue sur l'affectation du résultat, et procède aux nominations / renouvellements éventuels.</w:t>
      </w:r>
    </w:p>
    <w:p>
      <w:pPr>
        <w:spacing w:after="160" w:before="240"/>
      </w:pPr>
      <w:r>
        <w:rPr>
          <w:rFonts w:ascii="Calibri" w:cs="Calibri" w:eastAsia="Calibri" w:hAnsi="Calibri"/>
          <w:b/>
          <w:bCs/>
          <w:color w:val="1F4E79"/>
          <w:sz w:val="32"/>
          <w:szCs w:val="32"/>
        </w:rPr>
        <w:t xml:space="preserve">EVENTY LIFE SAS</w:t>
      </w:r>
    </w:p>
    <w:p>
      <w:pPr>
        <w:pStyle w:val="ListParagraph"/>
        <w:numPr>
          <w:ilvl w:val="0"/>
          <w:numId w:val="2"/>
        </w:numPr>
        <w:spacing w:after="60" w:line="260"/>
      </w:pPr>
      <w:r>
        <w:rPr>
          <w:rFonts w:ascii="Calibri" w:cs="Calibri" w:eastAsia="Calibri" w:hAnsi="Calibri"/>
          <w:sz w:val="20"/>
          <w:szCs w:val="20"/>
        </w:rPr>
        <w:t xml:space="preserve">Société par actions simplifiée au capital de [Capital] €.</w:t>
      </w:r>
    </w:p>
    <w:p>
      <w:pPr>
        <w:pStyle w:val="ListParagraph"/>
        <w:numPr>
          <w:ilvl w:val="0"/>
          <w:numId w:val="2"/>
        </w:numPr>
        <w:spacing w:after="60" w:line="260"/>
      </w:pPr>
      <w:r>
        <w:rPr>
          <w:rFonts w:ascii="Calibri" w:cs="Calibri" w:eastAsia="Calibri" w:hAnsi="Calibri"/>
          <w:sz w:val="20"/>
          <w:szCs w:val="20"/>
        </w:rPr>
        <w:t xml:space="preserve">Siège social : [Adresse].</w:t>
      </w:r>
    </w:p>
    <w:p>
      <w:pPr>
        <w:pStyle w:val="ListParagraph"/>
        <w:numPr>
          <w:ilvl w:val="0"/>
          <w:numId w:val="2"/>
        </w:numPr>
        <w:spacing w:after="60" w:line="260"/>
      </w:pPr>
      <w:r>
        <w:rPr>
          <w:rFonts w:ascii="Calibri" w:cs="Calibri" w:eastAsia="Calibri" w:hAnsi="Calibri"/>
          <w:sz w:val="20"/>
          <w:szCs w:val="20"/>
        </w:rPr>
        <w:t xml:space="preserve">RCS [Ville] [N° SIREN].</w:t>
      </w:r>
    </w:p>
    <w:p>
      <w:pPr>
        <w:pStyle w:val="ListParagraph"/>
        <w:numPr>
          <w:ilvl w:val="0"/>
          <w:numId w:val="2"/>
        </w:numPr>
        <w:spacing w:after="60" w:line="260"/>
      </w:pPr>
      <w:r>
        <w:rPr>
          <w:rFonts w:ascii="Calibri" w:cs="Calibri" w:eastAsia="Calibri" w:hAnsi="Calibri"/>
          <w:sz w:val="20"/>
          <w:szCs w:val="20"/>
        </w:rPr>
        <w:t xml:space="preserve">(Ci-après dénommée « la Société »).</w:t>
      </w:r>
    </w:p>
    <w:p>
      <w:pPr>
        <w:spacing w:after="200"/>
      </w:pPr>
      <w:r>
        <w:t xml:space="preserve"/>
      </w:r>
    </w:p>
    <w:p>
      <w:pPr>
        <w:spacing w:after="100" w:line="280"/>
        <w:jc w:val="center"/>
      </w:pPr>
      <w:r>
        <w:rPr>
          <w:rFonts w:ascii="Calibri" w:cs="Calibri" w:eastAsia="Calibri" w:hAnsi="Calibri"/>
          <w:b/>
          <w:bCs/>
          <w:color w:val="1A1A1A"/>
          <w:sz w:val="22"/>
          <w:szCs w:val="22"/>
        </w:rPr>
        <w:t xml:space="preserve">PROCÈS-VERBAL DE L'ASSEMBLÉE GÉNÉRALE ORDINAIRE ANNUELLE</w:t>
      </w:r>
    </w:p>
    <w:p>
      <w:pPr>
        <w:spacing w:after="100" w:line="280"/>
        <w:jc w:val="center"/>
      </w:pPr>
      <w:r>
        <w:rPr>
          <w:rFonts w:ascii="Calibri" w:cs="Calibri" w:eastAsia="Calibri" w:hAnsi="Calibri"/>
          <w:b/>
          <w:bCs/>
          <w:color w:val="1A1A1A"/>
          <w:sz w:val="20"/>
          <w:szCs w:val="20"/>
        </w:rPr>
        <w:t xml:space="preserve">DU [JJ/MM/AAAA]</w:t>
      </w:r>
    </w:p>
    <w:p>
      <w:pPr>
        <w:spacing w:after="100" w:line="280"/>
        <w:jc w:val="center"/>
      </w:pPr>
      <w:r>
        <w:rPr>
          <w:rFonts w:ascii="Calibri" w:cs="Calibri" w:eastAsia="Calibri" w:hAnsi="Calibri"/>
          <w:i/>
          <w:iCs/>
          <w:color w:val="1A1A1A"/>
          <w:sz w:val="18"/>
          <w:szCs w:val="18"/>
        </w:rPr>
        <w:t xml:space="preserve">(Approbation des comptes de l'exercice clos le [31 décembre AAAA])</w:t>
      </w:r>
    </w:p>
    <w:p>
      <w:pPr>
        <w:spacing w:after="200"/>
      </w:pPr>
      <w:r>
        <w:t xml:space="preserve"/>
      </w:r>
    </w:p>
    <w:p>
      <w:pPr>
        <w:spacing w:after="160" w:before="240"/>
      </w:pPr>
      <w:r>
        <w:rPr>
          <w:rFonts w:ascii="Calibri" w:cs="Calibri" w:eastAsia="Calibri" w:hAnsi="Calibri"/>
          <w:b/>
          <w:bCs/>
          <w:color w:val="1F4E79"/>
          <w:sz w:val="32"/>
          <w:szCs w:val="32"/>
        </w:rPr>
        <w:t xml:space="preserve">Préambule</w:t>
      </w:r>
    </w:p>
    <w:p>
      <w:pPr>
        <w:spacing w:after="100" w:line="280"/>
        <w:jc w:val="both"/>
      </w:pPr>
      <w:r>
        <w:rPr>
          <w:rFonts w:ascii="Calibri" w:cs="Calibri" w:eastAsia="Calibri" w:hAnsi="Calibri"/>
          <w:color w:val="1A1A1A"/>
          <w:sz w:val="20"/>
          <w:szCs w:val="20"/>
        </w:rPr>
        <w:t xml:space="preserve">Le [date], à [heure], les associés de la société EVENTY LIFE SAS se sont réunis en assemblée générale ordinaire annuelle au siège social, sur convocation du Président faite par [lettre simple / email avec accusé réception / autre selon statuts], conformément aux statuts.</w:t>
      </w:r>
    </w:p>
    <w:p>
      <w:pPr>
        <w:spacing w:after="100" w:before="220"/>
      </w:pPr>
      <w:r>
        <w:rPr>
          <w:rFonts w:ascii="Calibri" w:cs="Calibri" w:eastAsia="Calibri" w:hAnsi="Calibri"/>
          <w:b/>
          <w:bCs/>
          <w:color w:val="E87722"/>
          <w:sz w:val="22"/>
          <w:szCs w:val="22"/>
        </w:rPr>
        <w:t xml:space="preserve">Composition de l'assemblée</w:t>
      </w:r>
    </w:p>
    <w:p>
      <w:pPr>
        <w:spacing w:after="100" w:line="280"/>
        <w:jc w:val="both"/>
      </w:pPr>
      <w:r>
        <w:rPr>
          <w:rFonts w:ascii="Calibri" w:cs="Calibri" w:eastAsia="Calibri" w:hAnsi="Calibri"/>
          <w:color w:val="1A1A1A"/>
          <w:sz w:val="20"/>
          <w:szCs w:val="20"/>
        </w:rPr>
        <w:t xml:space="preserve">Sont présents ou représentés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Associé</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Nb actions</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 capital</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Présent / représenté</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David Eventy</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[Nb]</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Présent</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[Associé 2 si applicable]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[Nb]</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[Présent / Représenté par...]</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[Associé 3 si applicable]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[Nb]</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[Présent / Représenté par...]</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[Nb total]</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bl>
    <w:p>
      <w:pPr>
        <w:spacing w:after="100" w:line="280"/>
        <w:jc w:val="both"/>
      </w:pPr>
      <w:r>
        <w:rPr>
          <w:rFonts w:ascii="Calibri" w:cs="Calibri" w:eastAsia="Calibri" w:hAnsi="Calibri"/>
          <w:color w:val="1A1A1A"/>
          <w:sz w:val="20"/>
          <w:szCs w:val="20"/>
        </w:rPr>
        <w:t xml:space="preserve">Le quorum requis par les statuts étant atteint (majorité simple ou autre selon clauses), l'assemblée peut valablement délibérer.</w:t>
      </w:r>
    </w:p>
    <w:p>
      <w:pPr>
        <w:spacing w:after="100" w:before="220"/>
      </w:pPr>
      <w:r>
        <w:rPr>
          <w:rFonts w:ascii="Calibri" w:cs="Calibri" w:eastAsia="Calibri" w:hAnsi="Calibri"/>
          <w:b/>
          <w:bCs/>
          <w:color w:val="E87722"/>
          <w:sz w:val="22"/>
          <w:szCs w:val="22"/>
        </w:rPr>
        <w:t xml:space="preserve">Bureau de l'assemblée</w:t>
      </w:r>
    </w:p>
    <w:p>
      <w:pPr>
        <w:pStyle w:val="ListParagraph"/>
        <w:numPr>
          <w:ilvl w:val="0"/>
          <w:numId w:val="2"/>
        </w:numPr>
        <w:spacing w:after="60" w:line="260"/>
      </w:pPr>
      <w:r>
        <w:rPr>
          <w:rFonts w:ascii="Calibri" w:cs="Calibri" w:eastAsia="Calibri" w:hAnsi="Calibri"/>
          <w:sz w:val="20"/>
          <w:szCs w:val="20"/>
        </w:rPr>
        <w:t xml:space="preserve">Présidence : David Eventy, Président de la Société.</w:t>
      </w:r>
    </w:p>
    <w:p>
      <w:pPr>
        <w:pStyle w:val="ListParagraph"/>
        <w:numPr>
          <w:ilvl w:val="0"/>
          <w:numId w:val="2"/>
        </w:numPr>
        <w:spacing w:after="60" w:line="260"/>
      </w:pPr>
      <w:r>
        <w:rPr>
          <w:rFonts w:ascii="Calibri" w:cs="Calibri" w:eastAsia="Calibri" w:hAnsi="Calibri"/>
          <w:sz w:val="20"/>
          <w:szCs w:val="20"/>
        </w:rPr>
        <w:t xml:space="preserve">Secrétariat : [Nom — généralement un associé ou un tiers de confiance].</w:t>
      </w:r>
    </w:p>
    <w:p>
      <w:pPr>
        <w:pStyle w:val="ListParagraph"/>
        <w:numPr>
          <w:ilvl w:val="0"/>
          <w:numId w:val="2"/>
        </w:numPr>
        <w:spacing w:after="60" w:line="260"/>
      </w:pPr>
      <w:r>
        <w:rPr>
          <w:rFonts w:ascii="Calibri" w:cs="Calibri" w:eastAsia="Calibri" w:hAnsi="Calibri"/>
          <w:sz w:val="20"/>
          <w:szCs w:val="20"/>
        </w:rPr>
        <w:t xml:space="preserve">Scrutateurs (si applicable) : [Noms].</w:t>
      </w:r>
    </w:p>
    <w:p>
      <w:pPr>
        <w:spacing w:after="100" w:before="220"/>
      </w:pPr>
      <w:r>
        <w:rPr>
          <w:rFonts w:ascii="Calibri" w:cs="Calibri" w:eastAsia="Calibri" w:hAnsi="Calibri"/>
          <w:b/>
          <w:bCs/>
          <w:color w:val="E87722"/>
          <w:sz w:val="22"/>
          <w:szCs w:val="22"/>
        </w:rPr>
        <w:t xml:space="preserve">Documents tenus à disposition</w:t>
      </w:r>
    </w:p>
    <w:p>
      <w:pPr>
        <w:spacing w:after="100" w:line="280"/>
        <w:jc w:val="both"/>
      </w:pPr>
      <w:r>
        <w:rPr>
          <w:rFonts w:ascii="Calibri" w:cs="Calibri" w:eastAsia="Calibri" w:hAnsi="Calibri"/>
          <w:color w:val="1A1A1A"/>
          <w:sz w:val="20"/>
          <w:szCs w:val="20"/>
        </w:rPr>
        <w:t xml:space="preserve">Conformément aux articles L225-115 et L225-116 du Code de commerce (par renvoi des statuts SAS), ont été tenus à la disposition des associés au siège social pendant les 15 jours précédant l'assemblée :</w:t>
      </w:r>
    </w:p>
    <w:p>
      <w:pPr>
        <w:pStyle w:val="ListParagraph"/>
        <w:numPr>
          <w:ilvl w:val="0"/>
          <w:numId w:val="2"/>
        </w:numPr>
        <w:spacing w:after="60" w:line="260"/>
      </w:pPr>
      <w:r>
        <w:rPr>
          <w:rFonts w:ascii="Calibri" w:cs="Calibri" w:eastAsia="Calibri" w:hAnsi="Calibri"/>
          <w:sz w:val="20"/>
          <w:szCs w:val="20"/>
        </w:rPr>
        <w:t xml:space="preserve">Comptes annuels (bilan, compte de résultat, annexe).</w:t>
      </w:r>
    </w:p>
    <w:p>
      <w:pPr>
        <w:pStyle w:val="ListParagraph"/>
        <w:numPr>
          <w:ilvl w:val="0"/>
          <w:numId w:val="2"/>
        </w:numPr>
        <w:spacing w:after="60" w:line="260"/>
      </w:pPr>
      <w:r>
        <w:rPr>
          <w:rFonts w:ascii="Calibri" w:cs="Calibri" w:eastAsia="Calibri" w:hAnsi="Calibri"/>
          <w:sz w:val="20"/>
          <w:szCs w:val="20"/>
        </w:rPr>
        <w:t xml:space="preserve">Rapport de gestion du Président.</w:t>
      </w:r>
    </w:p>
    <w:p>
      <w:pPr>
        <w:pStyle w:val="ListParagraph"/>
        <w:numPr>
          <w:ilvl w:val="0"/>
          <w:numId w:val="2"/>
        </w:numPr>
        <w:spacing w:after="60" w:line="260"/>
      </w:pPr>
      <w:r>
        <w:rPr>
          <w:rFonts w:ascii="Calibri" w:cs="Calibri" w:eastAsia="Calibri" w:hAnsi="Calibri"/>
          <w:sz w:val="20"/>
          <w:szCs w:val="20"/>
        </w:rPr>
        <w:t xml:space="preserve">Texte des résolutions proposées.</w:t>
      </w:r>
    </w:p>
    <w:p>
      <w:pPr>
        <w:pStyle w:val="ListParagraph"/>
        <w:numPr>
          <w:ilvl w:val="0"/>
          <w:numId w:val="2"/>
        </w:numPr>
        <w:spacing w:after="60" w:line="260"/>
      </w:pPr>
      <w:r>
        <w:rPr>
          <w:rFonts w:ascii="Calibri" w:cs="Calibri" w:eastAsia="Calibri" w:hAnsi="Calibri"/>
          <w:sz w:val="20"/>
          <w:szCs w:val="20"/>
        </w:rPr>
        <w:t xml:space="preserve">Le cas échéant : rapport spécial du commissaire aux comptes.</w:t>
      </w:r>
    </w:p>
    <w:p>
      <w:pPr>
        <w:pStyle w:val="ListParagraph"/>
        <w:numPr>
          <w:ilvl w:val="0"/>
          <w:numId w:val="2"/>
        </w:numPr>
        <w:spacing w:after="60" w:line="260"/>
      </w:pPr>
      <w:r>
        <w:rPr>
          <w:rFonts w:ascii="Calibri" w:cs="Calibri" w:eastAsia="Calibri" w:hAnsi="Calibri"/>
          <w:sz w:val="20"/>
          <w:szCs w:val="20"/>
        </w:rPr>
        <w:t xml:space="preserve">Tableau des résultats des cinq derniers exercices (le cas échéant).</w:t>
      </w:r>
    </w:p>
    <w:p>
      <w:pPr>
        <w:spacing w:after="100" w:before="220"/>
      </w:pPr>
      <w:r>
        <w:rPr>
          <w:rFonts w:ascii="Calibri" w:cs="Calibri" w:eastAsia="Calibri" w:hAnsi="Calibri"/>
          <w:b/>
          <w:bCs/>
          <w:color w:val="E87722"/>
          <w:sz w:val="22"/>
          <w:szCs w:val="22"/>
        </w:rPr>
        <w:t xml:space="preserve">Ordre du jour</w:t>
      </w:r>
    </w:p>
    <w:p>
      <w:pPr>
        <w:pStyle w:val="ListParagraph"/>
        <w:numPr>
          <w:ilvl w:val="0"/>
          <w:numId w:val="3"/>
        </w:numPr>
        <w:spacing w:after="60" w:line="260"/>
      </w:pPr>
      <w:r>
        <w:rPr>
          <w:rFonts w:ascii="Calibri" w:cs="Calibri" w:eastAsia="Calibri" w:hAnsi="Calibri"/>
          <w:sz w:val="20"/>
          <w:szCs w:val="20"/>
        </w:rPr>
        <w:t xml:space="preserve">Lecture du rapport de gestion du Président.</w:t>
      </w:r>
    </w:p>
    <w:p>
      <w:pPr>
        <w:pStyle w:val="ListParagraph"/>
        <w:numPr>
          <w:ilvl w:val="0"/>
          <w:numId w:val="3"/>
        </w:numPr>
        <w:spacing w:after="60" w:line="260"/>
      </w:pPr>
      <w:r>
        <w:rPr>
          <w:rFonts w:ascii="Calibri" w:cs="Calibri" w:eastAsia="Calibri" w:hAnsi="Calibri"/>
          <w:sz w:val="20"/>
          <w:szCs w:val="20"/>
        </w:rPr>
        <w:t xml:space="preserve">Lecture du rapport spécial du commissaire aux comptes (le cas échéant).</w:t>
      </w:r>
    </w:p>
    <w:p>
      <w:pPr>
        <w:pStyle w:val="ListParagraph"/>
        <w:numPr>
          <w:ilvl w:val="0"/>
          <w:numId w:val="3"/>
        </w:numPr>
        <w:spacing w:after="60" w:line="260"/>
      </w:pPr>
      <w:r>
        <w:rPr>
          <w:rFonts w:ascii="Calibri" w:cs="Calibri" w:eastAsia="Calibri" w:hAnsi="Calibri"/>
          <w:sz w:val="20"/>
          <w:szCs w:val="20"/>
        </w:rPr>
        <w:t xml:space="preserve">Approbation des comptes annuels de l'exercice clos le [31 décembre AAAA].</w:t>
      </w:r>
    </w:p>
    <w:p>
      <w:pPr>
        <w:pStyle w:val="ListParagraph"/>
        <w:numPr>
          <w:ilvl w:val="0"/>
          <w:numId w:val="3"/>
        </w:numPr>
        <w:spacing w:after="60" w:line="260"/>
      </w:pPr>
      <w:r>
        <w:rPr>
          <w:rFonts w:ascii="Calibri" w:cs="Calibri" w:eastAsia="Calibri" w:hAnsi="Calibri"/>
          <w:sz w:val="20"/>
          <w:szCs w:val="20"/>
        </w:rPr>
        <w:t xml:space="preserve">Quitus au Président pour sa gestion de l'exercice écoulé.</w:t>
      </w:r>
    </w:p>
    <w:p>
      <w:pPr>
        <w:pStyle w:val="ListParagraph"/>
        <w:numPr>
          <w:ilvl w:val="0"/>
          <w:numId w:val="3"/>
        </w:numPr>
        <w:spacing w:after="60" w:line="260"/>
      </w:pPr>
      <w:r>
        <w:rPr>
          <w:rFonts w:ascii="Calibri" w:cs="Calibri" w:eastAsia="Calibri" w:hAnsi="Calibri"/>
          <w:sz w:val="20"/>
          <w:szCs w:val="20"/>
        </w:rPr>
        <w:t xml:space="preserve">Affectation du résultat.</w:t>
      </w:r>
    </w:p>
    <w:p>
      <w:pPr>
        <w:pStyle w:val="ListParagraph"/>
        <w:numPr>
          <w:ilvl w:val="0"/>
          <w:numId w:val="3"/>
        </w:numPr>
        <w:spacing w:after="60" w:line="260"/>
      </w:pPr>
      <w:r>
        <w:rPr>
          <w:rFonts w:ascii="Calibri" w:cs="Calibri" w:eastAsia="Calibri" w:hAnsi="Calibri"/>
          <w:sz w:val="20"/>
          <w:szCs w:val="20"/>
        </w:rPr>
        <w:t xml:space="preserve">Approbation des conventions réglementées (si applicable — article L227-10).</w:t>
      </w:r>
    </w:p>
    <w:p>
      <w:pPr>
        <w:pStyle w:val="ListParagraph"/>
        <w:numPr>
          <w:ilvl w:val="0"/>
          <w:numId w:val="3"/>
        </w:numPr>
        <w:spacing w:after="60" w:line="260"/>
      </w:pPr>
      <w:r>
        <w:rPr>
          <w:rFonts w:ascii="Calibri" w:cs="Calibri" w:eastAsia="Calibri" w:hAnsi="Calibri"/>
          <w:sz w:val="20"/>
          <w:szCs w:val="20"/>
        </w:rPr>
        <w:t xml:space="preserve">Renouvellement / nomination du commissaire aux comptes (si applicable).</w:t>
      </w:r>
    </w:p>
    <w:p>
      <w:pPr>
        <w:pStyle w:val="ListParagraph"/>
        <w:numPr>
          <w:ilvl w:val="0"/>
          <w:numId w:val="3"/>
        </w:numPr>
        <w:spacing w:after="60" w:line="260"/>
      </w:pPr>
      <w:r>
        <w:rPr>
          <w:rFonts w:ascii="Calibri" w:cs="Calibri" w:eastAsia="Calibri" w:hAnsi="Calibri"/>
          <w:sz w:val="20"/>
          <w:szCs w:val="20"/>
        </w:rPr>
        <w:t xml:space="preserve">Pouvoirs pour les formalités.</w:t>
      </w:r>
    </w:p>
    <w:p>
      <w:pPr>
        <w:pStyle w:val="ListParagraph"/>
        <w:numPr>
          <w:ilvl w:val="0"/>
          <w:numId w:val="3"/>
        </w:numPr>
        <w:spacing w:after="60" w:line="260"/>
      </w:pPr>
      <w:r>
        <w:rPr>
          <w:rFonts w:ascii="Calibri" w:cs="Calibri" w:eastAsia="Calibri" w:hAnsi="Calibri"/>
          <w:sz w:val="20"/>
          <w:szCs w:val="20"/>
        </w:rPr>
        <w:t xml:space="preserve">Questions diverses.</w:t>
      </w:r>
    </w:p>
    <w:p>
      <w:pPr>
        <w:spacing w:after="160" w:before="240"/>
      </w:pPr>
      <w:r>
        <w:rPr>
          <w:rFonts w:ascii="Calibri" w:cs="Calibri" w:eastAsia="Calibri" w:hAnsi="Calibri"/>
          <w:b/>
          <w:bCs/>
          <w:color w:val="1F4E79"/>
          <w:sz w:val="32"/>
          <w:szCs w:val="32"/>
        </w:rPr>
        <w:t xml:space="preserve">Délibérations et résolutions</w:t>
      </w:r>
    </w:p>
    <w:p>
      <w:pPr>
        <w:spacing w:after="100" w:before="220"/>
      </w:pPr>
      <w:r>
        <w:rPr>
          <w:rFonts w:ascii="Calibri" w:cs="Calibri" w:eastAsia="Calibri" w:hAnsi="Calibri"/>
          <w:b/>
          <w:bCs/>
          <w:color w:val="E87722"/>
          <w:sz w:val="22"/>
          <w:szCs w:val="22"/>
        </w:rPr>
        <w:t xml:space="preserve">Première résolution — Approbation des comptes annuels</w:t>
      </w:r>
    </w:p>
    <w:p>
      <w:pPr>
        <w:spacing w:after="100" w:line="280"/>
        <w:jc w:val="both"/>
      </w:pPr>
      <w:r>
        <w:rPr>
          <w:rFonts w:ascii="Calibri" w:cs="Calibri" w:eastAsia="Calibri" w:hAnsi="Calibri"/>
          <w:color w:val="1A1A1A"/>
          <w:sz w:val="20"/>
          <w:szCs w:val="20"/>
        </w:rPr>
        <w:t xml:space="preserve">L'assemblée générale, après avoir entendu la lecture du rapport de gestion du Président [et du rapport spécial du commissaire aux comptes le cas échéant], approuve dans toutes leurs parties les comptes annuels de l'exercice clos le [31 décembre AAAA], tels qu'ils lui sont présentés, ainsi que les opérations traduites dans ces comptes ou résumées dans ces rapports.</w:t>
      </w:r>
    </w:p>
    <w:p>
      <w:pPr>
        <w:spacing w:after="100" w:line="280"/>
        <w:jc w:val="both"/>
      </w:pPr>
      <w:r>
        <w:rPr>
          <w:rFonts w:ascii="Calibri" w:cs="Calibri" w:eastAsia="Calibri" w:hAnsi="Calibri"/>
          <w:color w:val="1A1A1A"/>
          <w:sz w:val="20"/>
          <w:szCs w:val="20"/>
        </w:rPr>
        <w:t xml:space="preserve">Ces comptes font ressortir :</w:t>
      </w:r>
    </w:p>
    <w:p>
      <w:pPr>
        <w:pStyle w:val="ListParagraph"/>
        <w:numPr>
          <w:ilvl w:val="0"/>
          <w:numId w:val="2"/>
        </w:numPr>
        <w:spacing w:after="60" w:line="260"/>
      </w:pPr>
      <w:r>
        <w:rPr>
          <w:rFonts w:ascii="Calibri" w:cs="Calibri" w:eastAsia="Calibri" w:hAnsi="Calibri"/>
          <w:sz w:val="20"/>
          <w:szCs w:val="20"/>
        </w:rPr>
        <w:t xml:space="preserve">Total du bilan : [Montant] €.</w:t>
      </w:r>
    </w:p>
    <w:p>
      <w:pPr>
        <w:pStyle w:val="ListParagraph"/>
        <w:numPr>
          <w:ilvl w:val="0"/>
          <w:numId w:val="2"/>
        </w:numPr>
        <w:spacing w:after="60" w:line="260"/>
      </w:pPr>
      <w:r>
        <w:rPr>
          <w:rFonts w:ascii="Calibri" w:cs="Calibri" w:eastAsia="Calibri" w:hAnsi="Calibri"/>
          <w:sz w:val="20"/>
          <w:szCs w:val="20"/>
        </w:rPr>
        <w:t xml:space="preserve">Capitaux propres : [Montant] €.</w:t>
      </w:r>
    </w:p>
    <w:p>
      <w:pPr>
        <w:pStyle w:val="ListParagraph"/>
        <w:numPr>
          <w:ilvl w:val="0"/>
          <w:numId w:val="2"/>
        </w:numPr>
        <w:spacing w:after="60" w:line="260"/>
      </w:pPr>
      <w:r>
        <w:rPr>
          <w:rFonts w:ascii="Calibri" w:cs="Calibri" w:eastAsia="Calibri" w:hAnsi="Calibri"/>
          <w:sz w:val="20"/>
          <w:szCs w:val="20"/>
        </w:rPr>
        <w:t xml:space="preserve">Chiffre d'affaires HT : [Montant] €.</w:t>
      </w:r>
    </w:p>
    <w:p>
      <w:pPr>
        <w:pStyle w:val="ListParagraph"/>
        <w:numPr>
          <w:ilvl w:val="0"/>
          <w:numId w:val="2"/>
        </w:numPr>
        <w:spacing w:after="60" w:line="260"/>
      </w:pPr>
      <w:r>
        <w:rPr>
          <w:rFonts w:ascii="Calibri" w:cs="Calibri" w:eastAsia="Calibri" w:hAnsi="Calibri"/>
          <w:sz w:val="20"/>
          <w:szCs w:val="20"/>
        </w:rPr>
        <w:t xml:space="preserve">Résultat net : [Bénéfice / Perte] de [Montant] €.</w:t>
      </w:r>
    </w:p>
    <w:p>
      <w:pPr>
        <w:spacing w:after="100" w:line="280"/>
        <w:jc w:val="both"/>
      </w:pPr>
      <w:r>
        <w:rPr>
          <w:rFonts w:ascii="Calibri" w:cs="Calibri" w:eastAsia="Calibri" w:hAnsi="Calibri"/>
          <w:i/>
          <w:iCs/>
          <w:color w:val="1A1A1A"/>
          <w:sz w:val="20"/>
          <w:szCs w:val="20"/>
        </w:rPr>
        <w:t xml:space="preserve">Cette résolution est adoptée à [l'unanimité / la majorité de [%]].</w:t>
      </w:r>
    </w:p>
    <w:p>
      <w:pPr>
        <w:spacing w:after="100" w:before="220"/>
      </w:pPr>
      <w:r>
        <w:rPr>
          <w:rFonts w:ascii="Calibri" w:cs="Calibri" w:eastAsia="Calibri" w:hAnsi="Calibri"/>
          <w:b/>
          <w:bCs/>
          <w:color w:val="E87722"/>
          <w:sz w:val="22"/>
          <w:szCs w:val="22"/>
        </w:rPr>
        <w:t xml:space="preserve">Deuxième résolution — Quitus au Président</w:t>
      </w:r>
    </w:p>
    <w:p>
      <w:pPr>
        <w:spacing w:after="100" w:line="280"/>
        <w:jc w:val="both"/>
      </w:pPr>
      <w:r>
        <w:rPr>
          <w:rFonts w:ascii="Calibri" w:cs="Calibri" w:eastAsia="Calibri" w:hAnsi="Calibri"/>
          <w:color w:val="1A1A1A"/>
          <w:sz w:val="20"/>
          <w:szCs w:val="20"/>
        </w:rPr>
        <w:t xml:space="preserve">L'assemblée générale donne au Président, pour l'exercice clos le [31 décembre AAAA], quitus entier et sans réserve de l'exécution de son mandat.</w:t>
      </w:r>
    </w:p>
    <w:p>
      <w:pPr>
        <w:spacing w:after="100" w:line="280"/>
        <w:jc w:val="both"/>
      </w:pPr>
      <w:r>
        <w:rPr>
          <w:rFonts w:ascii="Calibri" w:cs="Calibri" w:eastAsia="Calibri" w:hAnsi="Calibri"/>
          <w:i/>
          <w:iCs/>
          <w:color w:val="1A1A1A"/>
          <w:sz w:val="20"/>
          <w:szCs w:val="20"/>
        </w:rPr>
        <w:t xml:space="preserve">Cette résolution est adoptée à [l'unanimité / la majorité de [%]].</w:t>
      </w:r>
    </w:p>
    <w:p>
      <w:pPr>
        <w:spacing w:after="100" w:before="220"/>
      </w:pPr>
      <w:r>
        <w:rPr>
          <w:rFonts w:ascii="Calibri" w:cs="Calibri" w:eastAsia="Calibri" w:hAnsi="Calibri"/>
          <w:b/>
          <w:bCs/>
          <w:color w:val="E87722"/>
          <w:sz w:val="22"/>
          <w:szCs w:val="22"/>
        </w:rPr>
        <w:t xml:space="preserve">Troisième résolution — Affectation du résultat</w:t>
      </w:r>
    </w:p>
    <w:p>
      <w:pPr>
        <w:spacing w:after="100" w:line="280"/>
        <w:jc w:val="both"/>
      </w:pPr>
      <w:r>
        <w:rPr>
          <w:rFonts w:ascii="Calibri" w:cs="Calibri" w:eastAsia="Calibri" w:hAnsi="Calibri"/>
          <w:color w:val="1A1A1A"/>
          <w:sz w:val="20"/>
          <w:szCs w:val="20"/>
        </w:rPr>
        <w:t xml:space="preserve">L'assemblée générale décide d'affecter le résultat de l'exercice [bénéficiaire / déficitaire] de [Montant] €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Affectation</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Montant</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Réserve légale (5 % du bénéfice tant que &lt; 10 % capital)</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Réserve volontaire 5 % CA risques tourisme (statutaire)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Report à nouveau créditeur / débiteur</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Distribution de dividendes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 (ou Néant)</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total] €</w:t>
            </w:r>
          </w:p>
        </w:tc>
      </w:tr>
    </w:tbl>
    <w:p>
      <w:pPr>
        <w:spacing w:after="100" w:line="280"/>
        <w:jc w:val="both"/>
      </w:pPr>
      <w:r>
        <w:rPr>
          <w:rFonts w:ascii="Calibri" w:cs="Calibri" w:eastAsia="Calibri" w:hAnsi="Calibri"/>
          <w:i/>
          <w:iCs/>
          <w:color w:val="1A1A1A"/>
          <w:sz w:val="20"/>
          <w:szCs w:val="20"/>
        </w:rPr>
        <w:t xml:space="preserve">Cette résolution est adoptée à [l'unanimité / la majorité de [%]].</w:t>
      </w:r>
    </w:p>
    <w:p>
      <w:pPr>
        <w:spacing w:after="100" w:before="220"/>
      </w:pPr>
      <w:r>
        <w:rPr>
          <w:rFonts w:ascii="Calibri" w:cs="Calibri" w:eastAsia="Calibri" w:hAnsi="Calibri"/>
          <w:b/>
          <w:bCs/>
          <w:color w:val="E87722"/>
          <w:sz w:val="22"/>
          <w:szCs w:val="22"/>
        </w:rPr>
        <w:t xml:space="preserve">Quatrième résolution — Conventions réglementées (le cas échéant)</w:t>
      </w:r>
    </w:p>
    <w:p>
      <w:pPr>
        <w:spacing w:after="100" w:line="280"/>
        <w:jc w:val="both"/>
      </w:pPr>
      <w:r>
        <w:rPr>
          <w:rFonts w:ascii="Calibri" w:cs="Calibri" w:eastAsia="Calibri" w:hAnsi="Calibri"/>
          <w:color w:val="1A1A1A"/>
          <w:sz w:val="20"/>
          <w:szCs w:val="20"/>
        </w:rPr>
        <w:t xml:space="preserve">L'assemblée générale, statuant en application de l'article L227-10 du Code de commerce, après avoir pris connaissance du rapport du Président [et le cas échéant du commissaire aux comptes], approuve les conventions réglementées suivantes :</w:t>
      </w:r>
    </w:p>
    <w:p>
      <w:pPr>
        <w:pStyle w:val="ListParagraph"/>
        <w:numPr>
          <w:ilvl w:val="0"/>
          <w:numId w:val="2"/>
        </w:numPr>
        <w:spacing w:after="60" w:line="260"/>
      </w:pPr>
      <w:r>
        <w:rPr>
          <w:rFonts w:ascii="Calibri" w:cs="Calibri" w:eastAsia="Calibri" w:hAnsi="Calibri"/>
          <w:sz w:val="20"/>
          <w:szCs w:val="20"/>
        </w:rPr>
        <w:t xml:space="preserve">[Description précise de chaque convention — par ex. : « Convention de prestations de services entre la Société et la société [X] dont David Eventy est dirigeant — Montant annuel : [Y] € HT »].</w:t>
      </w:r>
    </w:p>
    <w:p>
      <w:pPr>
        <w:spacing w:after="100" w:line="280"/>
        <w:jc w:val="both"/>
      </w:pPr>
      <w:r>
        <w:rPr>
          <w:rFonts w:ascii="Calibri" w:cs="Calibri" w:eastAsia="Calibri" w:hAnsi="Calibri"/>
          <w:i/>
          <w:iCs/>
          <w:color w:val="1A1A1A"/>
          <w:sz w:val="20"/>
          <w:szCs w:val="20"/>
        </w:rPr>
        <w:t xml:space="preserve">Cette résolution est adoptée à [l'unanimité / la majorité de [%]].</w:t>
      </w:r>
    </w:p>
    <w:p>
      <w:pPr>
        <w:spacing w:after="100" w:before="220"/>
      </w:pPr>
      <w:r>
        <w:rPr>
          <w:rFonts w:ascii="Calibri" w:cs="Calibri" w:eastAsia="Calibri" w:hAnsi="Calibri"/>
          <w:b/>
          <w:bCs/>
          <w:color w:val="E87722"/>
          <w:sz w:val="22"/>
          <w:szCs w:val="22"/>
        </w:rPr>
        <w:t xml:space="preserve">Cinquième résolution — Renouvellement du commissaire aux comptes (si applicable)</w:t>
      </w:r>
    </w:p>
    <w:p>
      <w:pPr>
        <w:spacing w:after="100" w:line="280"/>
        <w:jc w:val="both"/>
      </w:pPr>
      <w:r>
        <w:rPr>
          <w:rFonts w:ascii="Calibri" w:cs="Calibri" w:eastAsia="Calibri" w:hAnsi="Calibri"/>
          <w:color w:val="1A1A1A"/>
          <w:sz w:val="20"/>
          <w:szCs w:val="20"/>
        </w:rPr>
        <w:t xml:space="preserve">[Si la Société atteint deux des trois seuils de l'article L227-9-1 du Code de commerce — bilan &gt; 5 M€, CA HT &gt; 10 M€, salariés &gt; 50 — la nomination d'un commissaire aux comptes est obligatoire.]</w:t>
      </w:r>
    </w:p>
    <w:p>
      <w:pPr>
        <w:spacing w:after="100" w:line="280"/>
        <w:jc w:val="both"/>
      </w:pPr>
      <w:r>
        <w:rPr>
          <w:rFonts w:ascii="Calibri" w:cs="Calibri" w:eastAsia="Calibri" w:hAnsi="Calibri"/>
          <w:color w:val="1A1A1A"/>
          <w:sz w:val="20"/>
          <w:szCs w:val="20"/>
        </w:rPr>
        <w:t xml:space="preserve">L'assemblée générale décide [de nommer / de renouveler / de ne pas renouveler] [Cabinet — N° d'inscription], en qualité de commissaire aux comptes titulaire, pour une durée de six (6) exercices.</w:t>
      </w:r>
    </w:p>
    <w:p>
      <w:pPr>
        <w:spacing w:after="100" w:line="280"/>
        <w:jc w:val="both"/>
      </w:pPr>
      <w:r>
        <w:rPr>
          <w:rFonts w:ascii="Calibri" w:cs="Calibri" w:eastAsia="Calibri" w:hAnsi="Calibri"/>
          <w:i/>
          <w:iCs/>
          <w:color w:val="1A1A1A"/>
          <w:sz w:val="20"/>
          <w:szCs w:val="20"/>
        </w:rPr>
        <w:t xml:space="preserve">Cette résolution est adoptée à [l'unanimité / la majorité de [%]].</w:t>
      </w:r>
    </w:p>
    <w:p>
      <w:pPr>
        <w:spacing w:after="100" w:before="220"/>
      </w:pPr>
      <w:r>
        <w:rPr>
          <w:rFonts w:ascii="Calibri" w:cs="Calibri" w:eastAsia="Calibri" w:hAnsi="Calibri"/>
          <w:b/>
          <w:bCs/>
          <w:color w:val="E87722"/>
          <w:sz w:val="22"/>
          <w:szCs w:val="22"/>
        </w:rPr>
        <w:t xml:space="preserve">Sixième résolution — Pouvoirs pour les formalités</w:t>
      </w:r>
    </w:p>
    <w:p>
      <w:pPr>
        <w:spacing w:after="100" w:line="280"/>
        <w:jc w:val="both"/>
      </w:pPr>
      <w:r>
        <w:rPr>
          <w:rFonts w:ascii="Calibri" w:cs="Calibri" w:eastAsia="Calibri" w:hAnsi="Calibri"/>
          <w:color w:val="1A1A1A"/>
          <w:sz w:val="20"/>
          <w:szCs w:val="20"/>
        </w:rPr>
        <w:t xml:space="preserve">L'assemblée générale donne tous pouvoirs au porteur d'un original, d'une copie ou d'un extrait du présent procès-verbal pour effectuer toutes les formalités légales de dépôt, publicité et autres.</w:t>
      </w:r>
    </w:p>
    <w:p>
      <w:pPr>
        <w:spacing w:after="100" w:line="280"/>
        <w:jc w:val="both"/>
      </w:pPr>
      <w:r>
        <w:rPr>
          <w:rFonts w:ascii="Calibri" w:cs="Calibri" w:eastAsia="Calibri" w:hAnsi="Calibri"/>
          <w:i/>
          <w:iCs/>
          <w:color w:val="1A1A1A"/>
          <w:sz w:val="20"/>
          <w:szCs w:val="20"/>
        </w:rPr>
        <w:t xml:space="preserve">Cette résolution est adoptée à l'unanimité.</w:t>
      </w:r>
    </w:p>
    <w:p>
      <w:pPr>
        <w:spacing w:after="160" w:before="240"/>
      </w:pPr>
      <w:r>
        <w:rPr>
          <w:rFonts w:ascii="Calibri" w:cs="Calibri" w:eastAsia="Calibri" w:hAnsi="Calibri"/>
          <w:b/>
          <w:bCs/>
          <w:color w:val="1F4E79"/>
          <w:sz w:val="32"/>
          <w:szCs w:val="32"/>
        </w:rPr>
        <w:t xml:space="preserve">Clôture</w:t>
      </w:r>
    </w:p>
    <w:p>
      <w:pPr>
        <w:spacing w:after="100" w:line="280"/>
        <w:jc w:val="both"/>
      </w:pPr>
      <w:r>
        <w:rPr>
          <w:rFonts w:ascii="Calibri" w:cs="Calibri" w:eastAsia="Calibri" w:hAnsi="Calibri"/>
          <w:color w:val="1A1A1A"/>
          <w:sz w:val="20"/>
          <w:szCs w:val="20"/>
        </w:rPr>
        <w:t xml:space="preserve">L'ordre du jour étant épuisé et personne ne demandant plus la parole, la séance est levée à [heure].</w:t>
      </w:r>
    </w:p>
    <w:p>
      <w:pPr>
        <w:spacing w:after="100" w:line="280"/>
        <w:jc w:val="both"/>
      </w:pPr>
      <w:r>
        <w:rPr>
          <w:rFonts w:ascii="Calibri" w:cs="Calibri" w:eastAsia="Calibri" w:hAnsi="Calibri"/>
          <w:color w:val="1A1A1A"/>
          <w:sz w:val="20"/>
          <w:szCs w:val="20"/>
        </w:rPr>
        <w:t xml:space="preserve">De tout ce qui précède, il a été dressé le présent procès-verbal qui, après lecture, a été signé par le Président et le Secrétaire.</w:t>
      </w:r>
    </w:p>
    <w:p>
      <w:pPr>
        <w:spacing w:after="280"/>
      </w:pPr>
      <w:r>
        <w:t xml:space="preserve"/>
      </w:r>
    </w:p>
    <w:p>
      <w:pPr>
        <w:spacing w:after="100" w:line="280"/>
        <w:jc w:val="both"/>
      </w:pPr>
      <w:r>
        <w:rPr>
          <w:rFonts w:ascii="Calibri" w:cs="Calibri" w:eastAsia="Calibri" w:hAnsi="Calibri"/>
          <w:color w:val="1A1A1A"/>
          <w:sz w:val="18"/>
          <w:szCs w:val="18"/>
        </w:rPr>
        <w:t xml:space="preserve">Le Président                                                                  Le Secrétaire</w:t>
      </w:r>
    </w:p>
    <w:p>
      <w:pPr>
        <w:spacing w:after="100" w:line="280"/>
        <w:jc w:val="both"/>
      </w:pPr>
      <w:r>
        <w:rPr>
          <w:rFonts w:ascii="Calibri" w:cs="Calibri" w:eastAsia="Calibri" w:hAnsi="Calibri"/>
          <w:color w:val="1A1A1A"/>
          <w:sz w:val="18"/>
          <w:szCs w:val="18"/>
        </w:rPr>
        <w:t xml:space="preserve">David Eventy                                                                  [Nom]</w:t>
      </w:r>
    </w:p>
    <w:p>
      <w:pPr>
        <w:spacing w:after="200"/>
      </w:pPr>
      <w:r>
        <w:t xml:space="preserve"/>
      </w:r>
    </w:p>
    <w:p>
      <w:pPr>
        <w:spacing w:after="160" w:before="240"/>
      </w:pPr>
      <w:r>
        <w:rPr>
          <w:rFonts w:ascii="Calibri" w:cs="Calibri" w:eastAsia="Calibri" w:hAnsi="Calibri"/>
          <w:b/>
          <w:bCs/>
          <w:color w:val="1F4E79"/>
          <w:sz w:val="32"/>
          <w:szCs w:val="32"/>
        </w:rPr>
        <w:t xml:space="preserve">Annexe — Comptes annuels et rapport de gestion</w:t>
      </w:r>
    </w:p>
    <w:p>
      <w:pPr>
        <w:pStyle w:val="ListParagraph"/>
        <w:numPr>
          <w:ilvl w:val="0"/>
          <w:numId w:val="2"/>
        </w:numPr>
        <w:spacing w:after="60" w:line="260"/>
      </w:pPr>
      <w:r>
        <w:rPr>
          <w:rFonts w:ascii="Calibri" w:cs="Calibri" w:eastAsia="Calibri" w:hAnsi="Calibri"/>
          <w:sz w:val="20"/>
          <w:szCs w:val="20"/>
        </w:rPr>
        <w:t xml:space="preserve">Bilan détaillé (actif/passif).</w:t>
      </w:r>
    </w:p>
    <w:p>
      <w:pPr>
        <w:pStyle w:val="ListParagraph"/>
        <w:numPr>
          <w:ilvl w:val="0"/>
          <w:numId w:val="2"/>
        </w:numPr>
        <w:spacing w:after="60" w:line="260"/>
      </w:pPr>
      <w:r>
        <w:rPr>
          <w:rFonts w:ascii="Calibri" w:cs="Calibri" w:eastAsia="Calibri" w:hAnsi="Calibri"/>
          <w:sz w:val="20"/>
          <w:szCs w:val="20"/>
        </w:rPr>
        <w:t xml:space="preserve">Compte de résultat détaillé.</w:t>
      </w:r>
    </w:p>
    <w:p>
      <w:pPr>
        <w:pStyle w:val="ListParagraph"/>
        <w:numPr>
          <w:ilvl w:val="0"/>
          <w:numId w:val="2"/>
        </w:numPr>
        <w:spacing w:after="60" w:line="260"/>
      </w:pPr>
      <w:r>
        <w:rPr>
          <w:rFonts w:ascii="Calibri" w:cs="Calibri" w:eastAsia="Calibri" w:hAnsi="Calibri"/>
          <w:sz w:val="20"/>
          <w:szCs w:val="20"/>
        </w:rPr>
        <w:t xml:space="preserve">Annexe légale aux comptes annuels.</w:t>
      </w:r>
    </w:p>
    <w:p>
      <w:pPr>
        <w:pStyle w:val="ListParagraph"/>
        <w:numPr>
          <w:ilvl w:val="0"/>
          <w:numId w:val="2"/>
        </w:numPr>
        <w:spacing w:after="60" w:line="260"/>
      </w:pPr>
      <w:r>
        <w:rPr>
          <w:rFonts w:ascii="Calibri" w:cs="Calibri" w:eastAsia="Calibri" w:hAnsi="Calibri"/>
          <w:sz w:val="20"/>
          <w:szCs w:val="20"/>
        </w:rPr>
        <w:t xml:space="preserve">Rapport de gestion du Président (document séparé — voir modèle dédié).</w:t>
      </w:r>
    </w:p>
    <w:p>
      <w:pPr>
        <w:pStyle w:val="ListParagraph"/>
        <w:numPr>
          <w:ilvl w:val="0"/>
          <w:numId w:val="2"/>
        </w:numPr>
        <w:spacing w:after="60" w:line="260"/>
      </w:pPr>
      <w:r>
        <w:rPr>
          <w:rFonts w:ascii="Calibri" w:cs="Calibri" w:eastAsia="Calibri" w:hAnsi="Calibri"/>
          <w:sz w:val="20"/>
          <w:szCs w:val="20"/>
        </w:rPr>
        <w:t xml:space="preserve">Le cas échéant : rapport spécial du commissaire aux comptes sur les conventions réglementées.</w:t>
      </w:r>
    </w:p>
    <w:p>
      <w:pPr>
        <w:spacing w:after="160" w:before="240"/>
      </w:pPr>
      <w:r>
        <w:rPr>
          <w:rFonts w:ascii="Calibri" w:cs="Calibri" w:eastAsia="Calibri" w:hAnsi="Calibri"/>
          <w:b/>
          <w:bCs/>
          <w:color w:val="1F4E79"/>
          <w:sz w:val="32"/>
          <w:szCs w:val="32"/>
        </w:rPr>
        <w:t xml:space="preserve">Formalités post-AG</w:t>
      </w:r>
    </w:p>
    <w:p>
      <w:pPr>
        <w:pStyle w:val="ListParagraph"/>
        <w:numPr>
          <w:ilvl w:val="0"/>
          <w:numId w:val="2"/>
        </w:numPr>
        <w:spacing w:after="60" w:line="260"/>
      </w:pPr>
      <w:r>
        <w:rPr>
          <w:rFonts w:ascii="Calibri" w:cs="Calibri" w:eastAsia="Calibri" w:hAnsi="Calibri"/>
          <w:sz w:val="20"/>
          <w:szCs w:val="20"/>
        </w:rPr>
        <w:t xml:space="preserve">Dépôt des comptes annuels au greffe du tribunal de commerce dans le mois suivant l'approbation (article L232-21 Code commerce).</w:t>
      </w:r>
    </w:p>
    <w:p>
      <w:pPr>
        <w:pStyle w:val="ListParagraph"/>
        <w:numPr>
          <w:ilvl w:val="0"/>
          <w:numId w:val="2"/>
        </w:numPr>
        <w:spacing w:after="60" w:line="260"/>
      </w:pPr>
      <w:r>
        <w:rPr>
          <w:rFonts w:ascii="Calibri" w:cs="Calibri" w:eastAsia="Calibri" w:hAnsi="Calibri"/>
          <w:sz w:val="20"/>
          <w:szCs w:val="20"/>
        </w:rPr>
        <w:t xml:space="preserve">Publication d'un avis dans un journal d'annonces légales (si distribution de dividendes).</w:t>
      </w:r>
    </w:p>
    <w:p>
      <w:pPr>
        <w:pStyle w:val="ListParagraph"/>
        <w:numPr>
          <w:ilvl w:val="0"/>
          <w:numId w:val="2"/>
        </w:numPr>
        <w:spacing w:after="60" w:line="260"/>
      </w:pPr>
      <w:r>
        <w:rPr>
          <w:rFonts w:ascii="Calibri" w:cs="Calibri" w:eastAsia="Calibri" w:hAnsi="Calibri"/>
          <w:sz w:val="20"/>
          <w:szCs w:val="20"/>
        </w:rPr>
        <w:t xml:space="preserve">Mise à jour du registre des assemblées (registre coté et paraphé).</w:t>
      </w:r>
    </w:p>
    <w:p>
      <w:pPr>
        <w:pStyle w:val="ListParagraph"/>
        <w:numPr>
          <w:ilvl w:val="0"/>
          <w:numId w:val="2"/>
        </w:numPr>
        <w:spacing w:after="60" w:line="260"/>
      </w:pPr>
      <w:r>
        <w:rPr>
          <w:rFonts w:ascii="Calibri" w:cs="Calibri" w:eastAsia="Calibri" w:hAnsi="Calibri"/>
          <w:sz w:val="20"/>
          <w:szCs w:val="20"/>
        </w:rPr>
        <w:t xml:space="preserve">Conservation du PV original au siège social pendant 5 ans minimum (recommandé : durée de vie de la Société).</w:t>
      </w:r>
    </w:p>
    <w:p>
      <w:pPr>
        <w:pStyle w:val="ListParagraph"/>
        <w:numPr>
          <w:ilvl w:val="0"/>
          <w:numId w:val="2"/>
        </w:numPr>
        <w:spacing w:after="60" w:line="260"/>
      </w:pPr>
      <w:r>
        <w:rPr>
          <w:rFonts w:ascii="Calibri" w:cs="Calibri" w:eastAsia="Calibri" w:hAnsi="Calibri"/>
          <w:sz w:val="20"/>
          <w:szCs w:val="20"/>
        </w:rPr>
        <w:t xml:space="preserve">Si commissaire aux comptes nommé : déclaration auprès du H3C dans le mois.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Modèle PV AGOA Version 1.0 — 30 avril 2026. À adapter chaque année.</w:t>
      </w:r>
    </w:p>
    <w:p>
      <w:pPr>
        <w:spacing w:after="100" w:line="280"/>
        <w:jc w:val="both"/>
      </w:pPr>
      <w:r>
        <w:rPr>
          <w:rFonts w:ascii="Calibri" w:cs="Calibri" w:eastAsia="Calibri" w:hAnsi="Calibri"/>
          <w:i/>
          <w:iCs/>
          <w:color w:val="555555"/>
          <w:sz w:val="18"/>
          <w:szCs w:val="18"/>
        </w:rPr>
        <w:t xml:space="preserve">Cohérence avec : Statuts SAS, Pacte d'associés, Rapport de gestion annuel, Comptes annuels, Note expert-comptable.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PV AGOA · Modèle type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Modèle PV d'assemblée générale ordinaire annuelle</dc:title>
  <dc:creator>David Eventy — Eventy Life SAS</dc:creator>
  <dc:description>Modèle PV AGOA pour approbation des comptes annuels.</dc:description>
  <cp:lastModifiedBy>Un-named</cp:lastModifiedBy>
  <cp:revision>1</cp:revision>
  <dcterms:created xsi:type="dcterms:W3CDTF">2026-05-01T21:45:34.522Z</dcterms:created>
  <dcterms:modified xsi:type="dcterms:W3CDTF">2026-05-01T21:45:34.522Z</dcterms:modified>
</cp:coreProperties>
</file>

<file path=docProps/custom.xml><?xml version="1.0" encoding="utf-8"?>
<Properties xmlns="http://schemas.openxmlformats.org/officeDocument/2006/custom-properties" xmlns:vt="http://schemas.openxmlformats.org/officeDocument/2006/docPropsVTypes"/>
</file>