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PLAN D'AUDIT INTERNE EVENTY LIFE</w:t>
            </w:r>
          </w:p>
          <w:p>
            <w:pPr>
              <w:spacing w:after="0"/>
              <w:jc w:val="center"/>
            </w:pPr>
            <w:r>
              <w:rPr>
                <w:rFonts w:ascii="Calibri" w:cs="Calibri" w:eastAsia="Calibri" w:hAnsi="Calibri"/>
                <w:i/>
                <w:iCs/>
                <w:color w:val="1F4E79"/>
                <w:sz w:val="18"/>
                <w:szCs w:val="18"/>
              </w:rPr>
              <w:t xml:space="preserve">Méthodologie d'audits financiers, conformité et opérationnels — référentiel équipe</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Le présent plan formalise le dispositif d'audit interne d'EVENTY LIFE SAS. Il vise à garantir la maîtrise des risques (financiers, opérationnels, conformité), la fiabilité des informations et la performance globale. Il complète la Procédure d'audit qualité HRA (qui couvre les partenaires) et le Plan de continuité d'activité (qui couvre la résilience).</w:t>
      </w:r>
    </w:p>
    <w:p>
      <w:pPr>
        <w:spacing w:after="100" w:line="280"/>
        <w:jc w:val="both"/>
      </w:pPr>
      <w:r>
        <w:rPr>
          <w:rFonts w:ascii="Calibri" w:cs="Calibri" w:eastAsia="Calibri" w:hAnsi="Calibri"/>
          <w:i/>
          <w:iCs/>
          <w:color w:val="1A1A1A"/>
          <w:sz w:val="20"/>
          <w:szCs w:val="20"/>
        </w:rPr>
        <w:t xml:space="preserve">L'audit interne Eventy n'est pas un dispositif bureaucratique. C'est un outil de pilotage qui permet de prévenir les défaillances, d'apprendre des erreurs et d'améliorer en continu. Il est mené avec rigueur mais aussi avec bienveillance — chercher la cause racine, pas le coupable.</w:t>
      </w:r>
    </w:p>
    <w:p>
      <w:pPr>
        <w:spacing w:after="160" w:before="240"/>
      </w:pPr>
      <w:r>
        <w:rPr>
          <w:rFonts w:ascii="Calibri" w:cs="Calibri" w:eastAsia="Calibri" w:hAnsi="Calibri"/>
          <w:b/>
          <w:bCs/>
          <w:color w:val="1F4E79"/>
          <w:sz w:val="32"/>
          <w:szCs w:val="32"/>
        </w:rPr>
        <w:t xml:space="preserve">1. Cadre de référence</w:t>
      </w:r>
    </w:p>
    <w:p>
      <w:pPr>
        <w:pStyle w:val="ListParagraph"/>
        <w:numPr>
          <w:ilvl w:val="0"/>
          <w:numId w:val="2"/>
        </w:numPr>
        <w:spacing w:after="60" w:line="260"/>
      </w:pPr>
      <w:r>
        <w:rPr>
          <w:rFonts w:ascii="Calibri" w:cs="Calibri" w:eastAsia="Calibri" w:hAnsi="Calibri"/>
          <w:sz w:val="20"/>
          <w:szCs w:val="20"/>
        </w:rPr>
        <w:t xml:space="preserve">Norme ISO 19011 (lignes directrices pour l'audit des systèmes de management).</w:t>
      </w:r>
    </w:p>
    <w:p>
      <w:pPr>
        <w:pStyle w:val="ListParagraph"/>
        <w:numPr>
          <w:ilvl w:val="0"/>
          <w:numId w:val="2"/>
        </w:numPr>
        <w:spacing w:after="60" w:line="260"/>
      </w:pPr>
      <w:r>
        <w:rPr>
          <w:rFonts w:ascii="Calibri" w:cs="Calibri" w:eastAsia="Calibri" w:hAnsi="Calibri"/>
          <w:sz w:val="20"/>
          <w:szCs w:val="20"/>
        </w:rPr>
        <w:t xml:space="preserve">IFACI — Institut Français de l'Audit et du Contrôle Internes (référentiel).</w:t>
      </w:r>
    </w:p>
    <w:p>
      <w:pPr>
        <w:pStyle w:val="ListParagraph"/>
        <w:numPr>
          <w:ilvl w:val="0"/>
          <w:numId w:val="2"/>
        </w:numPr>
        <w:spacing w:after="60" w:line="260"/>
      </w:pPr>
      <w:r>
        <w:rPr>
          <w:rFonts w:ascii="Calibri" w:cs="Calibri" w:eastAsia="Calibri" w:hAnsi="Calibri"/>
          <w:sz w:val="20"/>
          <w:szCs w:val="20"/>
        </w:rPr>
        <w:t xml:space="preserve">Code Monétaire et Financier (pour les obligations APST).</w:t>
      </w:r>
    </w:p>
    <w:p>
      <w:pPr>
        <w:pStyle w:val="ListParagraph"/>
        <w:numPr>
          <w:ilvl w:val="0"/>
          <w:numId w:val="2"/>
        </w:numPr>
        <w:spacing w:after="60" w:line="260"/>
      </w:pPr>
      <w:r>
        <w:rPr>
          <w:rFonts w:ascii="Calibri" w:cs="Calibri" w:eastAsia="Calibri" w:hAnsi="Calibri"/>
          <w:sz w:val="20"/>
          <w:szCs w:val="20"/>
        </w:rPr>
        <w:t xml:space="preserve">RGPD — audits de conformité données.</w:t>
      </w:r>
    </w:p>
    <w:p>
      <w:pPr>
        <w:pStyle w:val="ListParagraph"/>
        <w:numPr>
          <w:ilvl w:val="0"/>
          <w:numId w:val="2"/>
        </w:numPr>
        <w:spacing w:after="60" w:line="260"/>
      </w:pPr>
      <w:r>
        <w:rPr>
          <w:rFonts w:ascii="Calibri" w:cs="Calibri" w:eastAsia="Calibri" w:hAnsi="Calibri"/>
          <w:sz w:val="20"/>
          <w:szCs w:val="20"/>
        </w:rPr>
        <w:t xml:space="preserve">ANSSI — audits de cybersécurité.</w:t>
      </w:r>
    </w:p>
    <w:p>
      <w:pPr>
        <w:pStyle w:val="ListParagraph"/>
        <w:numPr>
          <w:ilvl w:val="0"/>
          <w:numId w:val="2"/>
        </w:numPr>
        <w:spacing w:after="60" w:line="260"/>
      </w:pPr>
      <w:r>
        <w:rPr>
          <w:rFonts w:ascii="Calibri" w:cs="Calibri" w:eastAsia="Calibri" w:hAnsi="Calibri"/>
          <w:sz w:val="20"/>
          <w:szCs w:val="20"/>
        </w:rPr>
        <w:t xml:space="preserve">Politique RSE Eventy (cohérence).</w:t>
      </w:r>
    </w:p>
    <w:p>
      <w:pPr>
        <w:spacing w:after="160" w:before="240"/>
      </w:pPr>
      <w:r>
        <w:rPr>
          <w:rFonts w:ascii="Calibri" w:cs="Calibri" w:eastAsia="Calibri" w:hAnsi="Calibri"/>
          <w:b/>
          <w:bCs/>
          <w:color w:val="1F4E79"/>
          <w:sz w:val="32"/>
          <w:szCs w:val="32"/>
        </w:rPr>
        <w:t xml:space="preserve">2. Objectifs</w:t>
      </w:r>
    </w:p>
    <w:p>
      <w:pPr>
        <w:pStyle w:val="ListParagraph"/>
        <w:numPr>
          <w:ilvl w:val="0"/>
          <w:numId w:val="2"/>
        </w:numPr>
        <w:spacing w:after="60" w:line="260"/>
      </w:pPr>
      <w:r>
        <w:rPr>
          <w:rFonts w:ascii="Calibri" w:cs="Calibri" w:eastAsia="Calibri" w:hAnsi="Calibri"/>
          <w:sz w:val="20"/>
          <w:szCs w:val="20"/>
        </w:rPr>
        <w:t xml:space="preserve">Vérifier l'application des procédures Eventy.</w:t>
      </w:r>
    </w:p>
    <w:p>
      <w:pPr>
        <w:pStyle w:val="ListParagraph"/>
        <w:numPr>
          <w:ilvl w:val="0"/>
          <w:numId w:val="2"/>
        </w:numPr>
        <w:spacing w:after="60" w:line="260"/>
      </w:pPr>
      <w:r>
        <w:rPr>
          <w:rFonts w:ascii="Calibri" w:cs="Calibri" w:eastAsia="Calibri" w:hAnsi="Calibri"/>
          <w:sz w:val="20"/>
          <w:szCs w:val="20"/>
        </w:rPr>
        <w:t xml:space="preserve">Identifier les risques opérationnels et les zones de fragilité.</w:t>
      </w:r>
    </w:p>
    <w:p>
      <w:pPr>
        <w:pStyle w:val="ListParagraph"/>
        <w:numPr>
          <w:ilvl w:val="0"/>
          <w:numId w:val="2"/>
        </w:numPr>
        <w:spacing w:after="60" w:line="260"/>
      </w:pPr>
      <w:r>
        <w:rPr>
          <w:rFonts w:ascii="Calibri" w:cs="Calibri" w:eastAsia="Calibri" w:hAnsi="Calibri"/>
          <w:sz w:val="20"/>
          <w:szCs w:val="20"/>
        </w:rPr>
        <w:t xml:space="preserve">Mesurer la conformité réglementaire (Atout France, APST, RGPD, fiscalité).</w:t>
      </w:r>
    </w:p>
    <w:p>
      <w:pPr>
        <w:pStyle w:val="ListParagraph"/>
        <w:numPr>
          <w:ilvl w:val="0"/>
          <w:numId w:val="2"/>
        </w:numPr>
        <w:spacing w:after="60" w:line="260"/>
      </w:pPr>
      <w:r>
        <w:rPr>
          <w:rFonts w:ascii="Calibri" w:cs="Calibri" w:eastAsia="Calibri" w:hAnsi="Calibri"/>
          <w:sz w:val="20"/>
          <w:szCs w:val="20"/>
        </w:rPr>
        <w:t xml:space="preserve">Évaluer l'efficacité des contrôles internes.</w:t>
      </w:r>
    </w:p>
    <w:p>
      <w:pPr>
        <w:pStyle w:val="ListParagraph"/>
        <w:numPr>
          <w:ilvl w:val="0"/>
          <w:numId w:val="2"/>
        </w:numPr>
        <w:spacing w:after="60" w:line="260"/>
      </w:pPr>
      <w:r>
        <w:rPr>
          <w:rFonts w:ascii="Calibri" w:cs="Calibri" w:eastAsia="Calibri" w:hAnsi="Calibri"/>
          <w:sz w:val="20"/>
          <w:szCs w:val="20"/>
        </w:rPr>
        <w:t xml:space="preserve">Proposer des améliorations concrètes.</w:t>
      </w:r>
    </w:p>
    <w:p>
      <w:pPr>
        <w:pStyle w:val="ListParagraph"/>
        <w:numPr>
          <w:ilvl w:val="0"/>
          <w:numId w:val="2"/>
        </w:numPr>
        <w:spacing w:after="60" w:line="260"/>
      </w:pPr>
      <w:r>
        <w:rPr>
          <w:rFonts w:ascii="Calibri" w:cs="Calibri" w:eastAsia="Calibri" w:hAnsi="Calibri"/>
          <w:sz w:val="20"/>
          <w:szCs w:val="20"/>
        </w:rPr>
        <w:t xml:space="preserve">Préparer les audits externes (CAC, APST, prestataires).</w:t>
      </w:r>
    </w:p>
    <w:p>
      <w:pPr>
        <w:spacing w:after="160" w:before="240"/>
      </w:pPr>
      <w:r>
        <w:rPr>
          <w:rFonts w:ascii="Calibri" w:cs="Calibri" w:eastAsia="Calibri" w:hAnsi="Calibri"/>
          <w:b/>
          <w:bCs/>
          <w:color w:val="1F4E79"/>
          <w:sz w:val="32"/>
          <w:szCs w:val="32"/>
        </w:rPr>
        <w:t xml:space="preserve">3. Périmètre des audits internes</w:t>
      </w:r>
    </w:p>
    <w:p>
      <w:pPr>
        <w:spacing w:after="100" w:before="220"/>
      </w:pPr>
      <w:r>
        <w:rPr>
          <w:rFonts w:ascii="Calibri" w:cs="Calibri" w:eastAsia="Calibri" w:hAnsi="Calibri"/>
          <w:b/>
          <w:bCs/>
          <w:color w:val="E87722"/>
          <w:sz w:val="22"/>
          <w:szCs w:val="22"/>
        </w:rPr>
        <w:t xml:space="preserve">3.1. Audit financier</w:t>
      </w:r>
    </w:p>
    <w:p>
      <w:pPr>
        <w:pStyle w:val="ListParagraph"/>
        <w:numPr>
          <w:ilvl w:val="0"/>
          <w:numId w:val="2"/>
        </w:numPr>
        <w:spacing w:after="60" w:line="260"/>
      </w:pPr>
      <w:r>
        <w:rPr>
          <w:rFonts w:ascii="Calibri" w:cs="Calibri" w:eastAsia="Calibri" w:hAnsi="Calibri"/>
          <w:sz w:val="20"/>
          <w:szCs w:val="20"/>
        </w:rPr>
        <w:t xml:space="preserve">Tenue comptable (cohérence Plan comptable et processus mensuel).</w:t>
      </w:r>
    </w:p>
    <w:p>
      <w:pPr>
        <w:pStyle w:val="ListParagraph"/>
        <w:numPr>
          <w:ilvl w:val="0"/>
          <w:numId w:val="2"/>
        </w:numPr>
        <w:spacing w:after="60" w:line="260"/>
      </w:pPr>
      <w:r>
        <w:rPr>
          <w:rFonts w:ascii="Calibri" w:cs="Calibri" w:eastAsia="Calibri" w:hAnsi="Calibri"/>
          <w:sz w:val="20"/>
          <w:szCs w:val="20"/>
        </w:rPr>
        <w:t xml:space="preserve">Rapprochements bancaires.</w:t>
      </w:r>
    </w:p>
    <w:p>
      <w:pPr>
        <w:pStyle w:val="ListParagraph"/>
        <w:numPr>
          <w:ilvl w:val="0"/>
          <w:numId w:val="2"/>
        </w:numPr>
        <w:spacing w:after="60" w:line="260"/>
      </w:pPr>
      <w:r>
        <w:rPr>
          <w:rFonts w:ascii="Calibri" w:cs="Calibri" w:eastAsia="Calibri" w:hAnsi="Calibri"/>
          <w:sz w:val="20"/>
          <w:szCs w:val="20"/>
        </w:rPr>
        <w:t xml:space="preserve">TVA marge tourisme (cohérence Guide TVA marge).</w:t>
      </w:r>
    </w:p>
    <w:p>
      <w:pPr>
        <w:pStyle w:val="ListParagraph"/>
        <w:numPr>
          <w:ilvl w:val="0"/>
          <w:numId w:val="2"/>
        </w:numPr>
        <w:spacing w:after="60" w:line="260"/>
      </w:pPr>
      <w:r>
        <w:rPr>
          <w:rFonts w:ascii="Calibri" w:cs="Calibri" w:eastAsia="Calibri" w:hAnsi="Calibri"/>
          <w:sz w:val="20"/>
          <w:szCs w:val="20"/>
        </w:rPr>
        <w:t xml:space="preserve">Compte cantonné (cohérence engagement APST).</w:t>
      </w:r>
    </w:p>
    <w:p>
      <w:pPr>
        <w:pStyle w:val="ListParagraph"/>
        <w:numPr>
          <w:ilvl w:val="0"/>
          <w:numId w:val="2"/>
        </w:numPr>
        <w:spacing w:after="60" w:line="260"/>
      </w:pPr>
      <w:r>
        <w:rPr>
          <w:rFonts w:ascii="Calibri" w:cs="Calibri" w:eastAsia="Calibri" w:hAnsi="Calibri"/>
          <w:sz w:val="20"/>
          <w:szCs w:val="20"/>
        </w:rPr>
        <w:t xml:space="preserve">Délais de paiement fournisseurs (cohérence Politique d'achats responsables).</w:t>
      </w:r>
    </w:p>
    <w:p>
      <w:pPr>
        <w:spacing w:after="100" w:before="220"/>
      </w:pPr>
      <w:r>
        <w:rPr>
          <w:rFonts w:ascii="Calibri" w:cs="Calibri" w:eastAsia="Calibri" w:hAnsi="Calibri"/>
          <w:b/>
          <w:bCs/>
          <w:color w:val="E87722"/>
          <w:sz w:val="22"/>
          <w:szCs w:val="22"/>
        </w:rPr>
        <w:t xml:space="preserve">3.2. Audit opérationnel</w:t>
      </w:r>
    </w:p>
    <w:p>
      <w:pPr>
        <w:pStyle w:val="ListParagraph"/>
        <w:numPr>
          <w:ilvl w:val="0"/>
          <w:numId w:val="2"/>
        </w:numPr>
        <w:spacing w:after="60" w:line="260"/>
      </w:pPr>
      <w:r>
        <w:rPr>
          <w:rFonts w:ascii="Calibri" w:cs="Calibri" w:eastAsia="Calibri" w:hAnsi="Calibri"/>
          <w:sz w:val="20"/>
          <w:szCs w:val="20"/>
        </w:rPr>
        <w:t xml:space="preserve">Procédures de réservation et paiement (cohérence Manuel des opérations quotidiennes).</w:t>
      </w:r>
    </w:p>
    <w:p>
      <w:pPr>
        <w:pStyle w:val="ListParagraph"/>
        <w:numPr>
          <w:ilvl w:val="0"/>
          <w:numId w:val="2"/>
        </w:numPr>
        <w:spacing w:after="60" w:line="260"/>
      </w:pPr>
      <w:r>
        <w:rPr>
          <w:rFonts w:ascii="Calibri" w:cs="Calibri" w:eastAsia="Calibri" w:hAnsi="Calibri"/>
          <w:sz w:val="20"/>
          <w:szCs w:val="20"/>
        </w:rPr>
        <w:t xml:space="preserve">Gestion des voyages en cours (cohérence Méthodologie de création de voyage).</w:t>
      </w:r>
    </w:p>
    <w:p>
      <w:pPr>
        <w:pStyle w:val="ListParagraph"/>
        <w:numPr>
          <w:ilvl w:val="0"/>
          <w:numId w:val="2"/>
        </w:numPr>
        <w:spacing w:after="60" w:line="260"/>
      </w:pPr>
      <w:r>
        <w:rPr>
          <w:rFonts w:ascii="Calibri" w:cs="Calibri" w:eastAsia="Calibri" w:hAnsi="Calibri"/>
          <w:sz w:val="20"/>
          <w:szCs w:val="20"/>
        </w:rPr>
        <w:t xml:space="preserve">Audit qualité HRA (cohérence Procédure d'audit qualité HRA).</w:t>
      </w:r>
    </w:p>
    <w:p>
      <w:pPr>
        <w:pStyle w:val="ListParagraph"/>
        <w:numPr>
          <w:ilvl w:val="0"/>
          <w:numId w:val="2"/>
        </w:numPr>
        <w:spacing w:after="60" w:line="260"/>
      </w:pPr>
      <w:r>
        <w:rPr>
          <w:rFonts w:ascii="Calibri" w:cs="Calibri" w:eastAsia="Calibri" w:hAnsi="Calibri"/>
          <w:sz w:val="20"/>
          <w:szCs w:val="20"/>
        </w:rPr>
        <w:t xml:space="preserve">Procédure de réclamation (cohérence Procédure de réclamation détaillée).</w:t>
      </w:r>
    </w:p>
    <w:p>
      <w:pPr>
        <w:pStyle w:val="ListParagraph"/>
        <w:numPr>
          <w:ilvl w:val="0"/>
          <w:numId w:val="2"/>
        </w:numPr>
        <w:spacing w:after="60" w:line="260"/>
      </w:pPr>
      <w:r>
        <w:rPr>
          <w:rFonts w:ascii="Calibri" w:cs="Calibri" w:eastAsia="Calibri" w:hAnsi="Calibri"/>
          <w:sz w:val="20"/>
          <w:szCs w:val="20"/>
        </w:rPr>
        <w:t xml:space="preserve">Pack Sérénité — délai d'activation et résolution.</w:t>
      </w:r>
    </w:p>
    <w:p>
      <w:pPr>
        <w:spacing w:after="100" w:before="220"/>
      </w:pPr>
      <w:r>
        <w:rPr>
          <w:rFonts w:ascii="Calibri" w:cs="Calibri" w:eastAsia="Calibri" w:hAnsi="Calibri"/>
          <w:b/>
          <w:bCs/>
          <w:color w:val="E87722"/>
          <w:sz w:val="22"/>
          <w:szCs w:val="22"/>
        </w:rPr>
        <w:t xml:space="preserve">3.3. Audit conformité</w:t>
      </w:r>
    </w:p>
    <w:p>
      <w:pPr>
        <w:pStyle w:val="ListParagraph"/>
        <w:numPr>
          <w:ilvl w:val="0"/>
          <w:numId w:val="2"/>
        </w:numPr>
        <w:spacing w:after="60" w:line="260"/>
      </w:pPr>
      <w:r>
        <w:rPr>
          <w:rFonts w:ascii="Calibri" w:cs="Calibri" w:eastAsia="Calibri" w:hAnsi="Calibri"/>
          <w:sz w:val="20"/>
          <w:szCs w:val="20"/>
        </w:rPr>
        <w:t xml:space="preserve">Conformité Code du tourisme (Atout France, IM, RC Pro).</w:t>
      </w:r>
    </w:p>
    <w:p>
      <w:pPr>
        <w:pStyle w:val="ListParagraph"/>
        <w:numPr>
          <w:ilvl w:val="0"/>
          <w:numId w:val="2"/>
        </w:numPr>
        <w:spacing w:after="60" w:line="260"/>
      </w:pPr>
      <w:r>
        <w:rPr>
          <w:rFonts w:ascii="Calibri" w:cs="Calibri" w:eastAsia="Calibri" w:hAnsi="Calibri"/>
          <w:sz w:val="20"/>
          <w:szCs w:val="20"/>
        </w:rPr>
        <w:t xml:space="preserve">Conformité APST (compte cantonné, garantie financière, reporting trimestriel).</w:t>
      </w:r>
    </w:p>
    <w:p>
      <w:pPr>
        <w:pStyle w:val="ListParagraph"/>
        <w:numPr>
          <w:ilvl w:val="0"/>
          <w:numId w:val="2"/>
        </w:numPr>
        <w:spacing w:after="60" w:line="260"/>
      </w:pPr>
      <w:r>
        <w:rPr>
          <w:rFonts w:ascii="Calibri" w:cs="Calibri" w:eastAsia="Calibri" w:hAnsi="Calibri"/>
          <w:sz w:val="20"/>
          <w:szCs w:val="20"/>
        </w:rPr>
        <w:t xml:space="preserve">Conformité RGPD (cohérence Politique de confidentialité, DPA sous-traitance).</w:t>
      </w:r>
    </w:p>
    <w:p>
      <w:pPr>
        <w:pStyle w:val="ListParagraph"/>
        <w:numPr>
          <w:ilvl w:val="0"/>
          <w:numId w:val="2"/>
        </w:numPr>
        <w:spacing w:after="60" w:line="260"/>
      </w:pPr>
      <w:r>
        <w:rPr>
          <w:rFonts w:ascii="Calibri" w:cs="Calibri" w:eastAsia="Calibri" w:hAnsi="Calibri"/>
          <w:sz w:val="20"/>
          <w:szCs w:val="20"/>
        </w:rPr>
        <w:t xml:space="preserve">Conformité fiscale (cohérence Guide TVA marge).</w:t>
      </w:r>
    </w:p>
    <w:p>
      <w:pPr>
        <w:pStyle w:val="ListParagraph"/>
        <w:numPr>
          <w:ilvl w:val="0"/>
          <w:numId w:val="2"/>
        </w:numPr>
        <w:spacing w:after="60" w:line="260"/>
      </w:pPr>
      <w:r>
        <w:rPr>
          <w:rFonts w:ascii="Calibri" w:cs="Calibri" w:eastAsia="Calibri" w:hAnsi="Calibri"/>
          <w:sz w:val="20"/>
          <w:szCs w:val="20"/>
        </w:rPr>
        <w:t xml:space="preserve">Conformité Code consommation (CGV, information précontractuelle).</w:t>
      </w:r>
    </w:p>
    <w:p>
      <w:pPr>
        <w:spacing w:after="100" w:before="220"/>
      </w:pPr>
      <w:r>
        <w:rPr>
          <w:rFonts w:ascii="Calibri" w:cs="Calibri" w:eastAsia="Calibri" w:hAnsi="Calibri"/>
          <w:b/>
          <w:bCs/>
          <w:color w:val="E87722"/>
          <w:sz w:val="22"/>
          <w:szCs w:val="22"/>
        </w:rPr>
        <w:t xml:space="preserve">3.4. Audit cybersécurité</w:t>
      </w:r>
    </w:p>
    <w:p>
      <w:pPr>
        <w:pStyle w:val="ListParagraph"/>
        <w:numPr>
          <w:ilvl w:val="0"/>
          <w:numId w:val="2"/>
        </w:numPr>
        <w:spacing w:after="60" w:line="260"/>
      </w:pPr>
      <w:r>
        <w:rPr>
          <w:rFonts w:ascii="Calibri" w:cs="Calibri" w:eastAsia="Calibri" w:hAnsi="Calibri"/>
          <w:sz w:val="20"/>
          <w:szCs w:val="20"/>
        </w:rPr>
        <w:t xml:space="preserve">Cohérence avec Politique cybersécurité.</w:t>
      </w:r>
    </w:p>
    <w:p>
      <w:pPr>
        <w:pStyle w:val="ListParagraph"/>
        <w:numPr>
          <w:ilvl w:val="0"/>
          <w:numId w:val="2"/>
        </w:numPr>
        <w:spacing w:after="60" w:line="260"/>
      </w:pPr>
      <w:r>
        <w:rPr>
          <w:rFonts w:ascii="Calibri" w:cs="Calibri" w:eastAsia="Calibri" w:hAnsi="Calibri"/>
          <w:sz w:val="20"/>
          <w:szCs w:val="20"/>
        </w:rPr>
        <w:t xml:space="preserve">Pentest annuel externe (cohérence document dédié).</w:t>
      </w:r>
    </w:p>
    <w:p>
      <w:pPr>
        <w:pStyle w:val="ListParagraph"/>
        <w:numPr>
          <w:ilvl w:val="0"/>
          <w:numId w:val="2"/>
        </w:numPr>
        <w:spacing w:after="60" w:line="260"/>
      </w:pPr>
      <w:r>
        <w:rPr>
          <w:rFonts w:ascii="Calibri" w:cs="Calibri" w:eastAsia="Calibri" w:hAnsi="Calibri"/>
          <w:sz w:val="20"/>
          <w:szCs w:val="20"/>
        </w:rPr>
        <w:t xml:space="preserve">Audit configuration cloud.</w:t>
      </w:r>
    </w:p>
    <w:p>
      <w:pPr>
        <w:pStyle w:val="ListParagraph"/>
        <w:numPr>
          <w:ilvl w:val="0"/>
          <w:numId w:val="2"/>
        </w:numPr>
        <w:spacing w:after="60" w:line="260"/>
      </w:pPr>
      <w:r>
        <w:rPr>
          <w:rFonts w:ascii="Calibri" w:cs="Calibri" w:eastAsia="Calibri" w:hAnsi="Calibri"/>
          <w:sz w:val="20"/>
          <w:szCs w:val="20"/>
        </w:rPr>
        <w:t xml:space="preserve">Audit habilitations RBAC.</w:t>
      </w:r>
    </w:p>
    <w:p>
      <w:pPr>
        <w:pStyle w:val="ListParagraph"/>
        <w:numPr>
          <w:ilvl w:val="0"/>
          <w:numId w:val="2"/>
        </w:numPr>
        <w:spacing w:after="60" w:line="260"/>
      </w:pPr>
      <w:r>
        <w:rPr>
          <w:rFonts w:ascii="Calibri" w:cs="Calibri" w:eastAsia="Calibri" w:hAnsi="Calibri"/>
          <w:sz w:val="20"/>
          <w:szCs w:val="20"/>
        </w:rPr>
        <w:t xml:space="preserve">Phishing test trimestriel.</w:t>
      </w:r>
    </w:p>
    <w:p>
      <w:pPr>
        <w:spacing w:after="100" w:before="220"/>
      </w:pPr>
      <w:r>
        <w:rPr>
          <w:rFonts w:ascii="Calibri" w:cs="Calibri" w:eastAsia="Calibri" w:hAnsi="Calibri"/>
          <w:b/>
          <w:bCs/>
          <w:color w:val="E87722"/>
          <w:sz w:val="22"/>
          <w:szCs w:val="22"/>
        </w:rPr>
        <w:t xml:space="preserve">3.5. Audit RSE</w:t>
      </w:r>
    </w:p>
    <w:p>
      <w:pPr>
        <w:pStyle w:val="ListParagraph"/>
        <w:numPr>
          <w:ilvl w:val="0"/>
          <w:numId w:val="2"/>
        </w:numPr>
        <w:spacing w:after="60" w:line="260"/>
      </w:pPr>
      <w:r>
        <w:rPr>
          <w:rFonts w:ascii="Calibri" w:cs="Calibri" w:eastAsia="Calibri" w:hAnsi="Calibri"/>
          <w:sz w:val="20"/>
          <w:szCs w:val="20"/>
        </w:rPr>
        <w:t xml:space="preserve">Cohérence avec Politique RSE.</w:t>
      </w:r>
    </w:p>
    <w:p>
      <w:pPr>
        <w:pStyle w:val="ListParagraph"/>
        <w:numPr>
          <w:ilvl w:val="0"/>
          <w:numId w:val="2"/>
        </w:numPr>
        <w:spacing w:after="60" w:line="260"/>
      </w:pPr>
      <w:r>
        <w:rPr>
          <w:rFonts w:ascii="Calibri" w:cs="Calibri" w:eastAsia="Calibri" w:hAnsi="Calibri"/>
          <w:sz w:val="20"/>
          <w:szCs w:val="20"/>
        </w:rPr>
        <w:t xml:space="preserve">Indicateurs RSE chiffrés An 1/An 5.</w:t>
      </w:r>
    </w:p>
    <w:p>
      <w:pPr>
        <w:pStyle w:val="ListParagraph"/>
        <w:numPr>
          <w:ilvl w:val="0"/>
          <w:numId w:val="2"/>
        </w:numPr>
        <w:spacing w:after="60" w:line="260"/>
      </w:pPr>
      <w:r>
        <w:rPr>
          <w:rFonts w:ascii="Calibri" w:cs="Calibri" w:eastAsia="Calibri" w:hAnsi="Calibri"/>
          <w:sz w:val="20"/>
          <w:szCs w:val="20"/>
        </w:rPr>
        <w:t xml:space="preserve">Bilan carbone (cohérence Charte engagement carbone).</w:t>
      </w:r>
    </w:p>
    <w:p>
      <w:pPr>
        <w:pStyle w:val="ListParagraph"/>
        <w:numPr>
          <w:ilvl w:val="0"/>
          <w:numId w:val="2"/>
        </w:numPr>
        <w:spacing w:after="60" w:line="260"/>
      </w:pPr>
      <w:r>
        <w:rPr>
          <w:rFonts w:ascii="Calibri" w:cs="Calibri" w:eastAsia="Calibri" w:hAnsi="Calibri"/>
          <w:sz w:val="20"/>
          <w:szCs w:val="20"/>
        </w:rPr>
        <w:t xml:space="preserve">Achats responsables (cohérence Politique d'achats responsables).</w:t>
      </w:r>
    </w:p>
    <w:p>
      <w:pPr>
        <w:pStyle w:val="ListParagraph"/>
        <w:numPr>
          <w:ilvl w:val="0"/>
          <w:numId w:val="2"/>
        </w:numPr>
        <w:spacing w:after="60" w:line="260"/>
      </w:pPr>
      <w:r>
        <w:rPr>
          <w:rFonts w:ascii="Calibri" w:cs="Calibri" w:eastAsia="Calibri" w:hAnsi="Calibri"/>
          <w:sz w:val="20"/>
          <w:szCs w:val="20"/>
        </w:rPr>
        <w:t xml:space="preserve">Mobilité durable (cohérence Plan de mobilité durable).</w:t>
      </w:r>
    </w:p>
    <w:p>
      <w:pPr>
        <w:spacing w:after="160" w:before="240"/>
      </w:pPr>
      <w:r>
        <w:rPr>
          <w:rFonts w:ascii="Calibri" w:cs="Calibri" w:eastAsia="Calibri" w:hAnsi="Calibri"/>
          <w:b/>
          <w:bCs/>
          <w:color w:val="1F4E79"/>
          <w:sz w:val="32"/>
          <w:szCs w:val="32"/>
        </w:rPr>
        <w:t xml:space="preserve">4. Calendrier d'audit annuel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Période</w:t>
            </w:r>
          </w:p>
        </w:tc>
        <w:tc>
          <w:tcPr>
            <w:tcW w:type="dxa" w:w="5616"/>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Audits programmés</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T1 (janv-mars)</w:t>
            </w:r>
          </w:p>
        </w:tc>
        <w:tc>
          <w:tcPr>
            <w:tcW w:type="dxa" w:w="561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Audit financier annuel (préparation comptes), audit RSE annuel, audit conformité Atout France/APST</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T2 (avr-juin)</w:t>
            </w:r>
          </w:p>
        </w:tc>
        <w:tc>
          <w:tcPr>
            <w:tcW w:type="dxa" w:w="561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Audit cybersécurité (pentest), audit RGPD avec DPO, phishing test</w:t>
            </w:r>
          </w:p>
        </w:tc>
      </w:tr>
      <w:tr>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T3 (juil-sept)</w:t>
            </w:r>
          </w:p>
        </w:tc>
        <w:tc>
          <w:tcPr>
            <w:tcW w:type="dxa" w:w="561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Audit opérationnel (réservations, voyages en cours), audit qualité HRA récurrent</w:t>
            </w:r>
          </w:p>
        </w:tc>
      </w:tr>
      <w:tr>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T4 (oct-déc)</w:t>
            </w:r>
          </w:p>
        </w:tc>
        <w:tc>
          <w:tcPr>
            <w:tcW w:type="dxa" w:w="561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Audit accessibilité numérique, audit conflits d'intérêts, préparation clôture</w:t>
            </w:r>
          </w:p>
        </w:tc>
      </w:tr>
    </w:tbl>
    <w:p>
      <w:pPr>
        <w:spacing w:after="160" w:before="240"/>
      </w:pPr>
      <w:r>
        <w:rPr>
          <w:rFonts w:ascii="Calibri" w:cs="Calibri" w:eastAsia="Calibri" w:hAnsi="Calibri"/>
          <w:b/>
          <w:bCs/>
          <w:color w:val="1F4E79"/>
          <w:sz w:val="32"/>
          <w:szCs w:val="32"/>
        </w:rPr>
        <w:t xml:space="preserve">5. Méthodologie d'audit</w:t>
      </w:r>
    </w:p>
    <w:p>
      <w:pPr>
        <w:spacing w:after="100" w:before="220"/>
      </w:pPr>
      <w:r>
        <w:rPr>
          <w:rFonts w:ascii="Calibri" w:cs="Calibri" w:eastAsia="Calibri" w:hAnsi="Calibri"/>
          <w:b/>
          <w:bCs/>
          <w:color w:val="E87722"/>
          <w:sz w:val="22"/>
          <w:szCs w:val="22"/>
        </w:rPr>
        <w:t xml:space="preserve">5.1. Phase 1 — Préparation (T-30 jours)</w:t>
      </w:r>
    </w:p>
    <w:p>
      <w:pPr>
        <w:pStyle w:val="ListParagraph"/>
        <w:numPr>
          <w:ilvl w:val="0"/>
          <w:numId w:val="2"/>
        </w:numPr>
        <w:spacing w:after="60" w:line="260"/>
      </w:pPr>
      <w:r>
        <w:rPr>
          <w:rFonts w:ascii="Calibri" w:cs="Calibri" w:eastAsia="Calibri" w:hAnsi="Calibri"/>
          <w:sz w:val="20"/>
          <w:szCs w:val="20"/>
        </w:rPr>
        <w:t xml:space="preserve">Définition du périmètre et des objectifs de l'audit.</w:t>
      </w:r>
    </w:p>
    <w:p>
      <w:pPr>
        <w:pStyle w:val="ListParagraph"/>
        <w:numPr>
          <w:ilvl w:val="0"/>
          <w:numId w:val="2"/>
        </w:numPr>
        <w:spacing w:after="60" w:line="260"/>
      </w:pPr>
      <w:r>
        <w:rPr>
          <w:rFonts w:ascii="Calibri" w:cs="Calibri" w:eastAsia="Calibri" w:hAnsi="Calibri"/>
          <w:sz w:val="20"/>
          <w:szCs w:val="20"/>
        </w:rPr>
        <w:t xml:space="preserve">Désignation de l'auditeur (interne ou externe selon nature).</w:t>
      </w:r>
    </w:p>
    <w:p>
      <w:pPr>
        <w:pStyle w:val="ListParagraph"/>
        <w:numPr>
          <w:ilvl w:val="0"/>
          <w:numId w:val="2"/>
        </w:numPr>
        <w:spacing w:after="60" w:line="260"/>
      </w:pPr>
      <w:r>
        <w:rPr>
          <w:rFonts w:ascii="Calibri" w:cs="Calibri" w:eastAsia="Calibri" w:hAnsi="Calibri"/>
          <w:sz w:val="20"/>
          <w:szCs w:val="20"/>
        </w:rPr>
        <w:t xml:space="preserve">Constitution du référentiel d'audit (procédures, indicateurs, normes).</w:t>
      </w:r>
    </w:p>
    <w:p>
      <w:pPr>
        <w:pStyle w:val="ListParagraph"/>
        <w:numPr>
          <w:ilvl w:val="0"/>
          <w:numId w:val="2"/>
        </w:numPr>
        <w:spacing w:after="60" w:line="260"/>
      </w:pPr>
      <w:r>
        <w:rPr>
          <w:rFonts w:ascii="Calibri" w:cs="Calibri" w:eastAsia="Calibri" w:hAnsi="Calibri"/>
          <w:sz w:val="20"/>
          <w:szCs w:val="20"/>
        </w:rPr>
        <w:t xml:space="preserve">Notification aux parties prenantes.</w:t>
      </w:r>
    </w:p>
    <w:p>
      <w:pPr>
        <w:spacing w:after="100" w:before="220"/>
      </w:pPr>
      <w:r>
        <w:rPr>
          <w:rFonts w:ascii="Calibri" w:cs="Calibri" w:eastAsia="Calibri" w:hAnsi="Calibri"/>
          <w:b/>
          <w:bCs/>
          <w:color w:val="E87722"/>
          <w:sz w:val="22"/>
          <w:szCs w:val="22"/>
        </w:rPr>
        <w:t xml:space="preserve">5.2. Phase 2 — Collecte (T-30 à T-7 jours)</w:t>
      </w:r>
    </w:p>
    <w:p>
      <w:pPr>
        <w:pStyle w:val="ListParagraph"/>
        <w:numPr>
          <w:ilvl w:val="0"/>
          <w:numId w:val="2"/>
        </w:numPr>
        <w:spacing w:after="60" w:line="260"/>
      </w:pPr>
      <w:r>
        <w:rPr>
          <w:rFonts w:ascii="Calibri" w:cs="Calibri" w:eastAsia="Calibri" w:hAnsi="Calibri"/>
          <w:sz w:val="20"/>
          <w:szCs w:val="20"/>
        </w:rPr>
        <w:t xml:space="preserve">Demande de documents (procédures, registres, rapports).</w:t>
      </w:r>
    </w:p>
    <w:p>
      <w:pPr>
        <w:pStyle w:val="ListParagraph"/>
        <w:numPr>
          <w:ilvl w:val="0"/>
          <w:numId w:val="2"/>
        </w:numPr>
        <w:spacing w:after="60" w:line="260"/>
      </w:pPr>
      <w:r>
        <w:rPr>
          <w:rFonts w:ascii="Calibri" w:cs="Calibri" w:eastAsia="Calibri" w:hAnsi="Calibri"/>
          <w:sz w:val="20"/>
          <w:szCs w:val="20"/>
        </w:rPr>
        <w:t xml:space="preserve">Examen documentaire.</w:t>
      </w:r>
    </w:p>
    <w:p>
      <w:pPr>
        <w:pStyle w:val="ListParagraph"/>
        <w:numPr>
          <w:ilvl w:val="0"/>
          <w:numId w:val="2"/>
        </w:numPr>
        <w:spacing w:after="60" w:line="260"/>
      </w:pPr>
      <w:r>
        <w:rPr>
          <w:rFonts w:ascii="Calibri" w:cs="Calibri" w:eastAsia="Calibri" w:hAnsi="Calibri"/>
          <w:sz w:val="20"/>
          <w:szCs w:val="20"/>
        </w:rPr>
        <w:t xml:space="preserve">Préparation de la grille d'évaluation.</w:t>
      </w:r>
    </w:p>
    <w:p>
      <w:pPr>
        <w:spacing w:after="100" w:before="220"/>
      </w:pPr>
      <w:r>
        <w:rPr>
          <w:rFonts w:ascii="Calibri" w:cs="Calibri" w:eastAsia="Calibri" w:hAnsi="Calibri"/>
          <w:b/>
          <w:bCs/>
          <w:color w:val="E87722"/>
          <w:sz w:val="22"/>
          <w:szCs w:val="22"/>
        </w:rPr>
        <w:t xml:space="preserve">5.3. Phase 3 — Réalisation sur site (1-3 jours)</w:t>
      </w:r>
    </w:p>
    <w:p>
      <w:pPr>
        <w:pStyle w:val="ListParagraph"/>
        <w:numPr>
          <w:ilvl w:val="0"/>
          <w:numId w:val="2"/>
        </w:numPr>
        <w:spacing w:after="60" w:line="260"/>
      </w:pPr>
      <w:r>
        <w:rPr>
          <w:rFonts w:ascii="Calibri" w:cs="Calibri" w:eastAsia="Calibri" w:hAnsi="Calibri"/>
          <w:sz w:val="20"/>
          <w:szCs w:val="20"/>
        </w:rPr>
        <w:t xml:space="preserve">Réunion d'ouverture (objectifs, déroulement, calendrier).</w:t>
      </w:r>
    </w:p>
    <w:p>
      <w:pPr>
        <w:pStyle w:val="ListParagraph"/>
        <w:numPr>
          <w:ilvl w:val="0"/>
          <w:numId w:val="2"/>
        </w:numPr>
        <w:spacing w:after="60" w:line="260"/>
      </w:pPr>
      <w:r>
        <w:rPr>
          <w:rFonts w:ascii="Calibri" w:cs="Calibri" w:eastAsia="Calibri" w:hAnsi="Calibri"/>
          <w:sz w:val="20"/>
          <w:szCs w:val="20"/>
        </w:rPr>
        <w:t xml:space="preserve">Entretiens avec les parties prenantes.</w:t>
      </w:r>
    </w:p>
    <w:p>
      <w:pPr>
        <w:pStyle w:val="ListParagraph"/>
        <w:numPr>
          <w:ilvl w:val="0"/>
          <w:numId w:val="2"/>
        </w:numPr>
        <w:spacing w:after="60" w:line="260"/>
      </w:pPr>
      <w:r>
        <w:rPr>
          <w:rFonts w:ascii="Calibri" w:cs="Calibri" w:eastAsia="Calibri" w:hAnsi="Calibri"/>
          <w:sz w:val="20"/>
          <w:szCs w:val="20"/>
        </w:rPr>
        <w:t xml:space="preserve">Tests de procédures (échantillonnage représentatif).</w:t>
      </w:r>
    </w:p>
    <w:p>
      <w:pPr>
        <w:pStyle w:val="ListParagraph"/>
        <w:numPr>
          <w:ilvl w:val="0"/>
          <w:numId w:val="2"/>
        </w:numPr>
        <w:spacing w:after="60" w:line="260"/>
      </w:pPr>
      <w:r>
        <w:rPr>
          <w:rFonts w:ascii="Calibri" w:cs="Calibri" w:eastAsia="Calibri" w:hAnsi="Calibri"/>
          <w:sz w:val="20"/>
          <w:szCs w:val="20"/>
        </w:rPr>
        <w:t xml:space="preserve">Vérifications de conformité.</w:t>
      </w:r>
    </w:p>
    <w:p>
      <w:pPr>
        <w:pStyle w:val="ListParagraph"/>
        <w:numPr>
          <w:ilvl w:val="0"/>
          <w:numId w:val="2"/>
        </w:numPr>
        <w:spacing w:after="60" w:line="260"/>
      </w:pPr>
      <w:r>
        <w:rPr>
          <w:rFonts w:ascii="Calibri" w:cs="Calibri" w:eastAsia="Calibri" w:hAnsi="Calibri"/>
          <w:sz w:val="20"/>
          <w:szCs w:val="20"/>
        </w:rPr>
        <w:t xml:space="preserve">Réunion de clôture (premiers retours).</w:t>
      </w:r>
    </w:p>
    <w:p>
      <w:pPr>
        <w:spacing w:after="100" w:before="220"/>
      </w:pPr>
      <w:r>
        <w:rPr>
          <w:rFonts w:ascii="Calibri" w:cs="Calibri" w:eastAsia="Calibri" w:hAnsi="Calibri"/>
          <w:b/>
          <w:bCs/>
          <w:color w:val="E87722"/>
          <w:sz w:val="22"/>
          <w:szCs w:val="22"/>
        </w:rPr>
        <w:t xml:space="preserve">5.4. Phase 4 — Restitution (T+15 jours)</w:t>
      </w:r>
    </w:p>
    <w:p>
      <w:pPr>
        <w:pStyle w:val="ListParagraph"/>
        <w:numPr>
          <w:ilvl w:val="0"/>
          <w:numId w:val="2"/>
        </w:numPr>
        <w:spacing w:after="60" w:line="260"/>
      </w:pPr>
      <w:r>
        <w:rPr>
          <w:rFonts w:ascii="Calibri" w:cs="Calibri" w:eastAsia="Calibri" w:hAnsi="Calibri"/>
          <w:sz w:val="20"/>
          <w:szCs w:val="20"/>
        </w:rPr>
        <w:t xml:space="preserve">Rapport d'audit formalisé.</w:t>
      </w:r>
    </w:p>
    <w:p>
      <w:pPr>
        <w:pStyle w:val="ListParagraph"/>
        <w:numPr>
          <w:ilvl w:val="0"/>
          <w:numId w:val="2"/>
        </w:numPr>
        <w:spacing w:after="60" w:line="260"/>
      </w:pPr>
      <w:r>
        <w:rPr>
          <w:rFonts w:ascii="Calibri" w:cs="Calibri" w:eastAsia="Calibri" w:hAnsi="Calibri"/>
          <w:sz w:val="20"/>
          <w:szCs w:val="20"/>
        </w:rPr>
        <w:t xml:space="preserve">Constat des points forts.</w:t>
      </w:r>
    </w:p>
    <w:p>
      <w:pPr>
        <w:pStyle w:val="ListParagraph"/>
        <w:numPr>
          <w:ilvl w:val="0"/>
          <w:numId w:val="2"/>
        </w:numPr>
        <w:spacing w:after="60" w:line="260"/>
      </w:pPr>
      <w:r>
        <w:rPr>
          <w:rFonts w:ascii="Calibri" w:cs="Calibri" w:eastAsia="Calibri" w:hAnsi="Calibri"/>
          <w:sz w:val="20"/>
          <w:szCs w:val="20"/>
        </w:rPr>
        <w:t xml:space="preserve">Constat des écarts (mineur, majeur, critique).</w:t>
      </w:r>
    </w:p>
    <w:p>
      <w:pPr>
        <w:pStyle w:val="ListParagraph"/>
        <w:numPr>
          <w:ilvl w:val="0"/>
          <w:numId w:val="2"/>
        </w:numPr>
        <w:spacing w:after="60" w:line="260"/>
      </w:pPr>
      <w:r>
        <w:rPr>
          <w:rFonts w:ascii="Calibri" w:cs="Calibri" w:eastAsia="Calibri" w:hAnsi="Calibri"/>
          <w:sz w:val="20"/>
          <w:szCs w:val="20"/>
        </w:rPr>
        <w:t xml:space="preserve">Recommandations chiffrées et priorisées.</w:t>
      </w:r>
    </w:p>
    <w:p>
      <w:pPr>
        <w:pStyle w:val="ListParagraph"/>
        <w:numPr>
          <w:ilvl w:val="0"/>
          <w:numId w:val="2"/>
        </w:numPr>
        <w:spacing w:after="60" w:line="260"/>
      </w:pPr>
      <w:r>
        <w:rPr>
          <w:rFonts w:ascii="Calibri" w:cs="Calibri" w:eastAsia="Calibri" w:hAnsi="Calibri"/>
          <w:sz w:val="20"/>
          <w:szCs w:val="20"/>
        </w:rPr>
        <w:t xml:space="preserve">Délais d'action proposés.</w:t>
      </w:r>
    </w:p>
    <w:p>
      <w:pPr>
        <w:spacing w:after="100" w:before="220"/>
      </w:pPr>
      <w:r>
        <w:rPr>
          <w:rFonts w:ascii="Calibri" w:cs="Calibri" w:eastAsia="Calibri" w:hAnsi="Calibri"/>
          <w:b/>
          <w:bCs/>
          <w:color w:val="E87722"/>
          <w:sz w:val="22"/>
          <w:szCs w:val="22"/>
        </w:rPr>
        <w:t xml:space="preserve">5.5. Phase 5 — Suivi des actions (T+15 à T+90)</w:t>
      </w:r>
    </w:p>
    <w:p>
      <w:pPr>
        <w:pStyle w:val="ListParagraph"/>
        <w:numPr>
          <w:ilvl w:val="0"/>
          <w:numId w:val="2"/>
        </w:numPr>
        <w:spacing w:after="60" w:line="260"/>
      </w:pPr>
      <w:r>
        <w:rPr>
          <w:rFonts w:ascii="Calibri" w:cs="Calibri" w:eastAsia="Calibri" w:hAnsi="Calibri"/>
          <w:sz w:val="20"/>
          <w:szCs w:val="20"/>
        </w:rPr>
        <w:t xml:space="preserve">Plan d'action validé par le Président.</w:t>
      </w:r>
    </w:p>
    <w:p>
      <w:pPr>
        <w:pStyle w:val="ListParagraph"/>
        <w:numPr>
          <w:ilvl w:val="0"/>
          <w:numId w:val="2"/>
        </w:numPr>
        <w:spacing w:after="60" w:line="260"/>
      </w:pPr>
      <w:r>
        <w:rPr>
          <w:rFonts w:ascii="Calibri" w:cs="Calibri" w:eastAsia="Calibri" w:hAnsi="Calibri"/>
          <w:sz w:val="20"/>
          <w:szCs w:val="20"/>
        </w:rPr>
        <w:t xml:space="preserve">Suivi de l'implémentation.</w:t>
      </w:r>
    </w:p>
    <w:p>
      <w:pPr>
        <w:pStyle w:val="ListParagraph"/>
        <w:numPr>
          <w:ilvl w:val="0"/>
          <w:numId w:val="2"/>
        </w:numPr>
        <w:spacing w:after="60" w:line="260"/>
      </w:pPr>
      <w:r>
        <w:rPr>
          <w:rFonts w:ascii="Calibri" w:cs="Calibri" w:eastAsia="Calibri" w:hAnsi="Calibri"/>
          <w:sz w:val="20"/>
          <w:szCs w:val="20"/>
        </w:rPr>
        <w:t xml:space="preserve">Revue à 30, 60, 90 jours.</w:t>
      </w:r>
    </w:p>
    <w:p>
      <w:pPr>
        <w:pStyle w:val="ListParagraph"/>
        <w:numPr>
          <w:ilvl w:val="0"/>
          <w:numId w:val="2"/>
        </w:numPr>
        <w:spacing w:after="60" w:line="260"/>
      </w:pPr>
      <w:r>
        <w:rPr>
          <w:rFonts w:ascii="Calibri" w:cs="Calibri" w:eastAsia="Calibri" w:hAnsi="Calibri"/>
          <w:sz w:val="20"/>
          <w:szCs w:val="20"/>
        </w:rPr>
        <w:t xml:space="preserve">Bilan formel à la fin de la période.</w:t>
      </w:r>
    </w:p>
    <w:p>
      <w:pPr>
        <w:spacing w:after="160" w:before="240"/>
      </w:pPr>
      <w:r>
        <w:rPr>
          <w:rFonts w:ascii="Calibri" w:cs="Calibri" w:eastAsia="Calibri" w:hAnsi="Calibri"/>
          <w:b/>
          <w:bCs/>
          <w:color w:val="1F4E79"/>
          <w:sz w:val="32"/>
          <w:szCs w:val="32"/>
        </w:rPr>
        <w:t xml:space="preserve">6. Niveaux de criticité des écarts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3744"/>
        <w:gridCol w:w="3120"/>
      </w:tblGrid>
      <w:tr>
        <w:trPr>
          <w:tblHeader/>
        </w:trPr>
        <w:tc>
          <w:tcPr>
            <w:tcW w:type="dxa" w:w="2496"/>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Niveau</w:t>
            </w:r>
          </w:p>
        </w:tc>
        <w:tc>
          <w:tcPr>
            <w:tcW w:type="dxa" w:w="3744"/>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Description</w:t>
            </w:r>
          </w:p>
        </w:tc>
        <w:tc>
          <w:tcPr>
            <w:tcW w:type="dxa" w:w="312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Délai d'action</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Mineur</w:t>
            </w:r>
          </w:p>
        </w:tc>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Écart sans impact direct sur la qualité ou la conformité</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90 jours</w:t>
            </w:r>
          </w:p>
        </w:tc>
      </w:tr>
      <w:tr>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Modéré</w:t>
            </w:r>
          </w:p>
        </w:tc>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Écart susceptible d'affecter la qualité ou la conformité</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30 jours</w:t>
            </w:r>
          </w:p>
        </w:tc>
      </w:tr>
      <w:tr>
        <w:tc>
          <w:tcPr>
            <w:tcW w:type="dxa" w:w="2496"/>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Majeur</w:t>
            </w:r>
          </w:p>
        </w:tc>
        <w:tc>
          <w:tcPr>
            <w:tcW w:type="dxa" w:w="3744"/>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Écart compromettant la qualité ou la conformité</w:t>
            </w:r>
          </w:p>
        </w:tc>
        <w:tc>
          <w:tcPr>
            <w:tcW w:type="dxa" w:w="312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14 jours</w:t>
            </w:r>
          </w:p>
        </w:tc>
      </w:tr>
      <w:tr>
        <w:tc>
          <w:tcPr>
            <w:tcW w:type="dxa" w:w="2496"/>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Critique</w:t>
            </w:r>
          </w:p>
        </w:tc>
        <w:tc>
          <w:tcPr>
            <w:tcW w:type="dxa" w:w="3744"/>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Écart mettant en cause la sécurité voyageur ou la viabilité</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Action immédiate</w:t>
            </w:r>
          </w:p>
        </w:tc>
      </w:tr>
    </w:tbl>
    <w:p>
      <w:pPr>
        <w:spacing w:after="160" w:before="240"/>
      </w:pPr>
      <w:r>
        <w:rPr>
          <w:rFonts w:ascii="Calibri" w:cs="Calibri" w:eastAsia="Calibri" w:hAnsi="Calibri"/>
          <w:b/>
          <w:bCs/>
          <w:color w:val="1F4E79"/>
          <w:sz w:val="32"/>
          <w:szCs w:val="32"/>
        </w:rPr>
        <w:t xml:space="preserve">7. Auditeurs</w:t>
      </w:r>
    </w:p>
    <w:p>
      <w:pPr>
        <w:spacing w:after="100" w:before="220"/>
      </w:pPr>
      <w:r>
        <w:rPr>
          <w:rFonts w:ascii="Calibri" w:cs="Calibri" w:eastAsia="Calibri" w:hAnsi="Calibri"/>
          <w:b/>
          <w:bCs/>
          <w:color w:val="E87722"/>
          <w:sz w:val="22"/>
          <w:szCs w:val="22"/>
        </w:rPr>
        <w:t xml:space="preserve">7.1. Auditeurs internes</w:t>
      </w:r>
    </w:p>
    <w:p>
      <w:pPr>
        <w:pStyle w:val="ListParagraph"/>
        <w:numPr>
          <w:ilvl w:val="0"/>
          <w:numId w:val="2"/>
        </w:numPr>
        <w:spacing w:after="60" w:line="260"/>
      </w:pPr>
      <w:r>
        <w:rPr>
          <w:rFonts w:ascii="Calibri" w:cs="Calibri" w:eastAsia="Calibri" w:hAnsi="Calibri"/>
          <w:sz w:val="20"/>
          <w:szCs w:val="20"/>
        </w:rPr>
        <w:t xml:space="preserve">Président (audits stratégiques).</w:t>
      </w:r>
    </w:p>
    <w:p>
      <w:pPr>
        <w:pStyle w:val="ListParagraph"/>
        <w:numPr>
          <w:ilvl w:val="0"/>
          <w:numId w:val="2"/>
        </w:numPr>
        <w:spacing w:after="60" w:line="260"/>
      </w:pPr>
      <w:r>
        <w:rPr>
          <w:rFonts w:ascii="Calibri" w:cs="Calibri" w:eastAsia="Calibri" w:hAnsi="Calibri"/>
          <w:sz w:val="20"/>
          <w:szCs w:val="20"/>
        </w:rPr>
        <w:t xml:space="preserve">Référent sécurité (audits cyber, à partir An 2).</w:t>
      </w:r>
    </w:p>
    <w:p>
      <w:pPr>
        <w:pStyle w:val="ListParagraph"/>
        <w:numPr>
          <w:ilvl w:val="0"/>
          <w:numId w:val="2"/>
        </w:numPr>
        <w:spacing w:after="60" w:line="260"/>
      </w:pPr>
      <w:r>
        <w:rPr>
          <w:rFonts w:ascii="Calibri" w:cs="Calibri" w:eastAsia="Calibri" w:hAnsi="Calibri"/>
          <w:sz w:val="20"/>
          <w:szCs w:val="20"/>
        </w:rPr>
        <w:t xml:space="preserve">Référent RSE (audits RSE et carbone, à partir An 2).</w:t>
      </w:r>
    </w:p>
    <w:p>
      <w:pPr>
        <w:pStyle w:val="ListParagraph"/>
        <w:numPr>
          <w:ilvl w:val="0"/>
          <w:numId w:val="2"/>
        </w:numPr>
        <w:spacing w:after="60" w:line="260"/>
      </w:pPr>
      <w:r>
        <w:rPr>
          <w:rFonts w:ascii="Calibri" w:cs="Calibri" w:eastAsia="Calibri" w:hAnsi="Calibri"/>
          <w:sz w:val="20"/>
          <w:szCs w:val="20"/>
        </w:rPr>
        <w:t xml:space="preserve">Comptable interne (audits financiers, à partir An 2).</w:t>
      </w:r>
    </w:p>
    <w:p>
      <w:pPr>
        <w:spacing w:after="100" w:before="220"/>
      </w:pPr>
      <w:r>
        <w:rPr>
          <w:rFonts w:ascii="Calibri" w:cs="Calibri" w:eastAsia="Calibri" w:hAnsi="Calibri"/>
          <w:b/>
          <w:bCs/>
          <w:color w:val="E87722"/>
          <w:sz w:val="22"/>
          <w:szCs w:val="22"/>
        </w:rPr>
        <w:t xml:space="preserve">7.2. Auditeurs externes</w:t>
      </w:r>
    </w:p>
    <w:p>
      <w:pPr>
        <w:pStyle w:val="ListParagraph"/>
        <w:numPr>
          <w:ilvl w:val="0"/>
          <w:numId w:val="2"/>
        </w:numPr>
        <w:spacing w:after="60" w:line="260"/>
      </w:pPr>
      <w:r>
        <w:rPr>
          <w:rFonts w:ascii="Calibri" w:cs="Calibri" w:eastAsia="Calibri" w:hAnsi="Calibri"/>
          <w:sz w:val="20"/>
          <w:szCs w:val="20"/>
        </w:rPr>
        <w:t xml:space="preserve">Commissaire aux comptes (CAC) — audit financier annuel à partir des seuils L227-9-1.</w:t>
      </w:r>
    </w:p>
    <w:p>
      <w:pPr>
        <w:pStyle w:val="ListParagraph"/>
        <w:numPr>
          <w:ilvl w:val="0"/>
          <w:numId w:val="2"/>
        </w:numPr>
        <w:spacing w:after="60" w:line="260"/>
      </w:pPr>
      <w:r>
        <w:rPr>
          <w:rFonts w:ascii="Calibri" w:cs="Calibri" w:eastAsia="Calibri" w:hAnsi="Calibri"/>
          <w:sz w:val="20"/>
          <w:szCs w:val="20"/>
        </w:rPr>
        <w:t xml:space="preserve">Cabinet certifié PASSI — pentest annuel.</w:t>
      </w:r>
    </w:p>
    <w:p>
      <w:pPr>
        <w:pStyle w:val="ListParagraph"/>
        <w:numPr>
          <w:ilvl w:val="0"/>
          <w:numId w:val="2"/>
        </w:numPr>
        <w:spacing w:after="60" w:line="260"/>
      </w:pPr>
      <w:r>
        <w:rPr>
          <w:rFonts w:ascii="Calibri" w:cs="Calibri" w:eastAsia="Calibri" w:hAnsi="Calibri"/>
          <w:sz w:val="20"/>
          <w:szCs w:val="20"/>
        </w:rPr>
        <w:t xml:space="preserve">DPO externe — audit RGPD.</w:t>
      </w:r>
    </w:p>
    <w:p>
      <w:pPr>
        <w:pStyle w:val="ListParagraph"/>
        <w:numPr>
          <w:ilvl w:val="0"/>
          <w:numId w:val="2"/>
        </w:numPr>
        <w:spacing w:after="60" w:line="260"/>
      </w:pPr>
      <w:r>
        <w:rPr>
          <w:rFonts w:ascii="Calibri" w:cs="Calibri" w:eastAsia="Calibri" w:hAnsi="Calibri"/>
          <w:sz w:val="20"/>
          <w:szCs w:val="20"/>
        </w:rPr>
        <w:t xml:space="preserve">Cabinet RSE — audit ISO 26000 (cible An 3).</w:t>
      </w:r>
    </w:p>
    <w:p>
      <w:pPr>
        <w:pStyle w:val="ListParagraph"/>
        <w:numPr>
          <w:ilvl w:val="0"/>
          <w:numId w:val="2"/>
        </w:numPr>
        <w:spacing w:after="60" w:line="260"/>
      </w:pPr>
      <w:r>
        <w:rPr>
          <w:rFonts w:ascii="Calibri" w:cs="Calibri" w:eastAsia="Calibri" w:hAnsi="Calibri"/>
          <w:sz w:val="20"/>
          <w:szCs w:val="20"/>
        </w:rPr>
        <w:t xml:space="preserve">Cabinet ISO 27001 — audit cybersécurité (cible An 3).</w:t>
      </w:r>
    </w:p>
    <w:p>
      <w:pPr>
        <w:spacing w:after="100" w:before="220"/>
      </w:pPr>
      <w:r>
        <w:rPr>
          <w:rFonts w:ascii="Calibri" w:cs="Calibri" w:eastAsia="Calibri" w:hAnsi="Calibri"/>
          <w:b/>
          <w:bCs/>
          <w:color w:val="E87722"/>
          <w:sz w:val="22"/>
          <w:szCs w:val="22"/>
        </w:rPr>
        <w:t xml:space="preserve">7.3. Indépendance</w:t>
      </w:r>
    </w:p>
    <w:p>
      <w:pPr>
        <w:pStyle w:val="ListParagraph"/>
        <w:numPr>
          <w:ilvl w:val="0"/>
          <w:numId w:val="2"/>
        </w:numPr>
        <w:spacing w:after="60" w:line="260"/>
      </w:pPr>
      <w:r>
        <w:rPr>
          <w:rFonts w:ascii="Calibri" w:cs="Calibri" w:eastAsia="Calibri" w:hAnsi="Calibri"/>
          <w:sz w:val="20"/>
          <w:szCs w:val="20"/>
        </w:rPr>
        <w:t xml:space="preserve">L'auditeur ne peut pas auditer son propre travail (sauf An 1 avec validation Président).</w:t>
      </w:r>
    </w:p>
    <w:p>
      <w:pPr>
        <w:pStyle w:val="ListParagraph"/>
        <w:numPr>
          <w:ilvl w:val="0"/>
          <w:numId w:val="2"/>
        </w:numPr>
        <w:spacing w:after="60" w:line="260"/>
      </w:pPr>
      <w:r>
        <w:rPr>
          <w:rFonts w:ascii="Calibri" w:cs="Calibri" w:eastAsia="Calibri" w:hAnsi="Calibri"/>
          <w:sz w:val="20"/>
          <w:szCs w:val="20"/>
        </w:rPr>
        <w:t xml:space="preserve">Cohérence avec Politique conflits d'intérêts.</w:t>
      </w:r>
    </w:p>
    <w:p>
      <w:pPr>
        <w:pStyle w:val="ListParagraph"/>
        <w:numPr>
          <w:ilvl w:val="0"/>
          <w:numId w:val="2"/>
        </w:numPr>
        <w:spacing w:after="60" w:line="260"/>
      </w:pPr>
      <w:r>
        <w:rPr>
          <w:rFonts w:ascii="Calibri" w:cs="Calibri" w:eastAsia="Calibri" w:hAnsi="Calibri"/>
          <w:sz w:val="20"/>
          <w:szCs w:val="20"/>
        </w:rPr>
        <w:t xml:space="preserve">Confidentialité absolue des informations partagées.</w:t>
      </w:r>
    </w:p>
    <w:p>
      <w:pPr>
        <w:pStyle w:val="ListParagraph"/>
        <w:numPr>
          <w:ilvl w:val="0"/>
          <w:numId w:val="2"/>
        </w:numPr>
        <w:spacing w:after="60" w:line="260"/>
      </w:pPr>
      <w:r>
        <w:rPr>
          <w:rFonts w:ascii="Calibri" w:cs="Calibri" w:eastAsia="Calibri" w:hAnsi="Calibri"/>
          <w:sz w:val="20"/>
          <w:szCs w:val="20"/>
        </w:rPr>
        <w:t xml:space="preserve">Refus de toute pression sur les conclusions.</w:t>
      </w:r>
    </w:p>
    <w:p>
      <w:pPr>
        <w:spacing w:after="160" w:before="240"/>
      </w:pPr>
      <w:r>
        <w:rPr>
          <w:rFonts w:ascii="Calibri" w:cs="Calibri" w:eastAsia="Calibri" w:hAnsi="Calibri"/>
          <w:b/>
          <w:bCs/>
          <w:color w:val="1F4E79"/>
          <w:sz w:val="32"/>
          <w:szCs w:val="32"/>
        </w:rPr>
        <w:t xml:space="preserve">8. Suivi des recommandations</w:t>
      </w:r>
    </w:p>
    <w:p>
      <w:pPr>
        <w:pStyle w:val="ListParagraph"/>
        <w:numPr>
          <w:ilvl w:val="0"/>
          <w:numId w:val="2"/>
        </w:numPr>
        <w:spacing w:after="60" w:line="260"/>
      </w:pPr>
      <w:r>
        <w:rPr>
          <w:rFonts w:ascii="Calibri" w:cs="Calibri" w:eastAsia="Calibri" w:hAnsi="Calibri"/>
          <w:sz w:val="20"/>
          <w:szCs w:val="20"/>
        </w:rPr>
        <w:t xml:space="preserve">Tableau de suivi des actions (centralisé, mis à jour mensuellement).</w:t>
      </w:r>
    </w:p>
    <w:p>
      <w:pPr>
        <w:pStyle w:val="ListParagraph"/>
        <w:numPr>
          <w:ilvl w:val="0"/>
          <w:numId w:val="2"/>
        </w:numPr>
        <w:spacing w:after="60" w:line="260"/>
      </w:pPr>
      <w:r>
        <w:rPr>
          <w:rFonts w:ascii="Calibri" w:cs="Calibri" w:eastAsia="Calibri" w:hAnsi="Calibri"/>
          <w:sz w:val="20"/>
          <w:szCs w:val="20"/>
        </w:rPr>
        <w:t xml:space="preserve">Reporting trimestriel au Président.</w:t>
      </w:r>
    </w:p>
    <w:p>
      <w:pPr>
        <w:pStyle w:val="ListParagraph"/>
        <w:numPr>
          <w:ilvl w:val="0"/>
          <w:numId w:val="2"/>
        </w:numPr>
        <w:spacing w:after="60" w:line="260"/>
      </w:pPr>
      <w:r>
        <w:rPr>
          <w:rFonts w:ascii="Calibri" w:cs="Calibri" w:eastAsia="Calibri" w:hAnsi="Calibri"/>
          <w:sz w:val="20"/>
          <w:szCs w:val="20"/>
        </w:rPr>
        <w:t xml:space="preserve">Reporting annuel aux investisseurs (cohérence Pacte associés Seed).</w:t>
      </w:r>
    </w:p>
    <w:p>
      <w:pPr>
        <w:pStyle w:val="ListParagraph"/>
        <w:numPr>
          <w:ilvl w:val="0"/>
          <w:numId w:val="2"/>
        </w:numPr>
        <w:spacing w:after="60" w:line="260"/>
      </w:pPr>
      <w:r>
        <w:rPr>
          <w:rFonts w:ascii="Calibri" w:cs="Calibri" w:eastAsia="Calibri" w:hAnsi="Calibri"/>
          <w:sz w:val="20"/>
          <w:szCs w:val="20"/>
        </w:rPr>
        <w:t xml:space="preserve">Réception des actions clôturées validée par l'auditeur.</w:t>
      </w:r>
    </w:p>
    <w:p>
      <w:pPr>
        <w:spacing w:after="160" w:before="240"/>
      </w:pPr>
      <w:r>
        <w:rPr>
          <w:rFonts w:ascii="Calibri" w:cs="Calibri" w:eastAsia="Calibri" w:hAnsi="Calibri"/>
          <w:b/>
          <w:bCs/>
          <w:color w:val="1F4E79"/>
          <w:sz w:val="32"/>
          <w:szCs w:val="32"/>
        </w:rPr>
        <w:t xml:space="preserve">9. Indicateurs d'audit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Audits internes réalisés / an</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8</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Audits externes / an</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6</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Délai moyen restitution (jours)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21 j</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14 j</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d'écarts critiques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d'écarts majeurs résolus &lt; 14 j</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Taux de mise en œuvre recommandations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95 %</w:t>
            </w:r>
          </w:p>
        </w:tc>
      </w:tr>
    </w:tbl>
    <w:p>
      <w:pPr>
        <w:spacing w:after="160" w:before="240"/>
      </w:pPr>
      <w:r>
        <w:rPr>
          <w:rFonts w:ascii="Calibri" w:cs="Calibri" w:eastAsia="Calibri" w:hAnsi="Calibri"/>
          <w:b/>
          <w:bCs/>
          <w:color w:val="1F4E79"/>
          <w:sz w:val="32"/>
          <w:szCs w:val="32"/>
        </w:rPr>
        <w:t xml:space="preserve">10. Engagements éthiques d'audit</w:t>
      </w:r>
    </w:p>
    <w:p>
      <w:pPr>
        <w:pStyle w:val="ListParagraph"/>
        <w:numPr>
          <w:ilvl w:val="0"/>
          <w:numId w:val="2"/>
        </w:numPr>
        <w:spacing w:after="60" w:line="260"/>
      </w:pPr>
      <w:r>
        <w:rPr>
          <w:rFonts w:ascii="Calibri" w:cs="Calibri" w:eastAsia="Calibri" w:hAnsi="Calibri"/>
          <w:sz w:val="20"/>
          <w:szCs w:val="20"/>
        </w:rPr>
        <w:t xml:space="preserve">Vérité absolue dans les constats (refus du maquillage, refus de l'omission).</w:t>
      </w:r>
    </w:p>
    <w:p>
      <w:pPr>
        <w:pStyle w:val="ListParagraph"/>
        <w:numPr>
          <w:ilvl w:val="0"/>
          <w:numId w:val="2"/>
        </w:numPr>
        <w:spacing w:after="60" w:line="260"/>
      </w:pPr>
      <w:r>
        <w:rPr>
          <w:rFonts w:ascii="Calibri" w:cs="Calibri" w:eastAsia="Calibri" w:hAnsi="Calibri"/>
          <w:sz w:val="20"/>
          <w:szCs w:val="20"/>
        </w:rPr>
        <w:t xml:space="preserve">Bienveillance dans la formulation (chercher la cause racine, pas le coupable).</w:t>
      </w:r>
    </w:p>
    <w:p>
      <w:pPr>
        <w:pStyle w:val="ListParagraph"/>
        <w:numPr>
          <w:ilvl w:val="0"/>
          <w:numId w:val="2"/>
        </w:numPr>
        <w:spacing w:after="60" w:line="260"/>
      </w:pPr>
      <w:r>
        <w:rPr>
          <w:rFonts w:ascii="Calibri" w:cs="Calibri" w:eastAsia="Calibri" w:hAnsi="Calibri"/>
          <w:sz w:val="20"/>
          <w:szCs w:val="20"/>
        </w:rPr>
        <w:t xml:space="preserve">Confidentialité absolue.</w:t>
      </w:r>
    </w:p>
    <w:p>
      <w:pPr>
        <w:pStyle w:val="ListParagraph"/>
        <w:numPr>
          <w:ilvl w:val="0"/>
          <w:numId w:val="2"/>
        </w:numPr>
        <w:spacing w:after="60" w:line="260"/>
      </w:pPr>
      <w:r>
        <w:rPr>
          <w:rFonts w:ascii="Calibri" w:cs="Calibri" w:eastAsia="Calibri" w:hAnsi="Calibri"/>
          <w:sz w:val="20"/>
          <w:szCs w:val="20"/>
        </w:rPr>
        <w:t xml:space="preserve">Non-représailles contre les auditeurs ou les audités.</w:t>
      </w:r>
    </w:p>
    <w:p>
      <w:pPr>
        <w:pStyle w:val="ListParagraph"/>
        <w:numPr>
          <w:ilvl w:val="0"/>
          <w:numId w:val="2"/>
        </w:numPr>
        <w:spacing w:after="60" w:line="260"/>
      </w:pPr>
      <w:r>
        <w:rPr>
          <w:rFonts w:ascii="Calibri" w:cs="Calibri" w:eastAsia="Calibri" w:hAnsi="Calibri"/>
          <w:sz w:val="20"/>
          <w:szCs w:val="20"/>
        </w:rPr>
        <w:t xml:space="preserve">Indépendance de jugement.</w:t>
      </w:r>
    </w:p>
    <w:p>
      <w:pPr>
        <w:pStyle w:val="ListParagraph"/>
        <w:numPr>
          <w:ilvl w:val="0"/>
          <w:numId w:val="2"/>
        </w:numPr>
        <w:spacing w:after="60" w:line="260"/>
      </w:pPr>
      <w:r>
        <w:rPr>
          <w:rFonts w:ascii="Calibri" w:cs="Calibri" w:eastAsia="Calibri" w:hAnsi="Calibri"/>
          <w:sz w:val="20"/>
          <w:szCs w:val="20"/>
        </w:rPr>
        <w:t xml:space="preserve">Restitution publique partielle (rapport synthétique aux investisseurs et partenaires).</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interne — Version 1.0 — 2 mai 2026. Mise à jour annuelle.</w:t>
      </w:r>
    </w:p>
    <w:p>
      <w:pPr>
        <w:spacing w:after="100" w:line="280"/>
        <w:jc w:val="both"/>
      </w:pPr>
      <w:r>
        <w:rPr>
          <w:rFonts w:ascii="Calibri" w:cs="Calibri" w:eastAsia="Calibri" w:hAnsi="Calibri"/>
          <w:i/>
          <w:iCs/>
          <w:color w:val="555555"/>
          <w:sz w:val="18"/>
          <w:szCs w:val="18"/>
        </w:rPr>
        <w:t xml:space="preserve">Cohérence avec : Plan comptable et processus mensuel, Guide TVA marge tourisme, Procédure d'audit qualité HRA, Politique cybersécurité, Politique RSE, Politique RGPD, Plan de continuité d'activité, Politique conflits d'intérêts.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Plan d'audit interne</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Plan d'audit interne</dc:title>
  <dc:creator>David Eventy — Eventy Life SAS</dc:creator>
  <dc:description>Méthodologie d'audits financiers, conformité, opérationnels.</dc:description>
  <cp:lastModifiedBy>Un-named</cp:lastModifiedBy>
  <cp:revision>1</cp:revision>
  <dcterms:created xsi:type="dcterms:W3CDTF">2026-05-02T02:53:04.193Z</dcterms:created>
  <dcterms:modified xsi:type="dcterms:W3CDTF">2026-05-02T02:53:04.193Z</dcterms:modified>
</cp:coreProperties>
</file>

<file path=docProps/custom.xml><?xml version="1.0" encoding="utf-8"?>
<Properties xmlns="http://schemas.openxmlformats.org/officeDocument/2006/custom-properties" xmlns:vt="http://schemas.openxmlformats.org/officeDocument/2006/docPropsVTypes"/>
</file>