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PLAN D'EXPANSION INTERNATIONALE EVENTY</w:t>
            </w:r>
          </w:p>
          <w:p>
            <w:pPr>
              <w:spacing w:after="0"/>
              <w:jc w:val="center"/>
            </w:pPr>
            <w:r>
              <w:rPr>
                <w:rFonts w:ascii="Calibri" w:cs="Calibri" w:eastAsia="Calibri" w:hAnsi="Calibri"/>
                <w:i/>
                <w:iCs/>
                <w:color w:val="1F4E79"/>
                <w:sz w:val="18"/>
                <w:szCs w:val="18"/>
              </w:rPr>
              <w:t xml:space="preserve">Stratégie pluriannuelle de déploiement Europe et international</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Le présent plan formalise la stratégie d'expansion internationale d'EVENTY LIFE SAS sur une trajectoire pluriannuelle. Il complète le Dossier investisseur (volet expansion) et la Roadmap technique (volet internationalisation). L'expansion est progressive, prudente, alignée avec les valeurs Eventy.</w:t>
      </w:r>
    </w:p>
    <w:p>
      <w:pPr>
        <w:spacing w:after="100" w:line="280"/>
        <w:jc w:val="both"/>
      </w:pPr>
      <w:r>
        <w:rPr>
          <w:rFonts w:ascii="Calibri" w:cs="Calibri" w:eastAsia="Calibri" w:hAnsi="Calibri"/>
          <w:i/>
          <w:iCs/>
          <w:color w:val="1A1A1A"/>
          <w:sz w:val="20"/>
          <w:szCs w:val="20"/>
        </w:rPr>
        <w:t xml:space="preserve">Eventy refuse une expansion mécanique : nous ne dupliquons pas le modèle pour exister sur une carte. Nous ouvrons un nouveau marché quand les conditions humaines, opérationnelles et économiques sont réunies, pas avant. La rentabilité durable prime sur la croissance vaniteuse.</w:t>
      </w:r>
    </w:p>
    <w:p>
      <w:pPr>
        <w:spacing w:after="160" w:before="240"/>
      </w:pPr>
      <w:r>
        <w:rPr>
          <w:rFonts w:ascii="Calibri" w:cs="Calibri" w:eastAsia="Calibri" w:hAnsi="Calibri"/>
          <w:b/>
          <w:bCs/>
          <w:color w:val="1F4E79"/>
          <w:sz w:val="32"/>
          <w:szCs w:val="32"/>
        </w:rPr>
        <w:t xml:space="preserve">1. Principes directeurs</w:t>
      </w:r>
    </w:p>
    <w:p>
      <w:pPr>
        <w:spacing w:after="100" w:before="220"/>
      </w:pPr>
      <w:r>
        <w:rPr>
          <w:rFonts w:ascii="Calibri" w:cs="Calibri" w:eastAsia="Calibri" w:hAnsi="Calibri"/>
          <w:b/>
          <w:bCs/>
          <w:color w:val="E87722"/>
          <w:sz w:val="22"/>
          <w:szCs w:val="22"/>
        </w:rPr>
        <w:t xml:space="preserve">1.1. Cinq principes</w:t>
      </w:r>
    </w:p>
    <w:p>
      <w:pPr>
        <w:pStyle w:val="ListParagraph"/>
        <w:numPr>
          <w:ilvl w:val="0"/>
          <w:numId w:val="2"/>
        </w:numPr>
        <w:spacing w:after="60" w:line="260"/>
      </w:pPr>
      <w:r>
        <w:rPr>
          <w:rFonts w:ascii="Calibri" w:cs="Calibri" w:eastAsia="Calibri" w:hAnsi="Calibri"/>
          <w:sz w:val="20"/>
          <w:szCs w:val="20"/>
        </w:rPr>
        <w:t xml:space="preserve">Maîtrise avant croissance — consolider la France avant l'international.</w:t>
      </w:r>
    </w:p>
    <w:p>
      <w:pPr>
        <w:pStyle w:val="ListParagraph"/>
        <w:numPr>
          <w:ilvl w:val="0"/>
          <w:numId w:val="2"/>
        </w:numPr>
        <w:spacing w:after="60" w:line="260"/>
      </w:pPr>
      <w:r>
        <w:rPr>
          <w:rFonts w:ascii="Calibri" w:cs="Calibri" w:eastAsia="Calibri" w:hAnsi="Calibri"/>
          <w:sz w:val="20"/>
          <w:szCs w:val="20"/>
        </w:rPr>
        <w:t xml:space="preserve">Partenariats locaux avant tout — refus du modèle parachutage.</w:t>
      </w:r>
    </w:p>
    <w:p>
      <w:pPr>
        <w:pStyle w:val="ListParagraph"/>
        <w:numPr>
          <w:ilvl w:val="0"/>
          <w:numId w:val="2"/>
        </w:numPr>
        <w:spacing w:after="60" w:line="260"/>
      </w:pPr>
      <w:r>
        <w:rPr>
          <w:rFonts w:ascii="Calibri" w:cs="Calibri" w:eastAsia="Calibri" w:hAnsi="Calibri"/>
          <w:sz w:val="20"/>
          <w:szCs w:val="20"/>
        </w:rPr>
        <w:t xml:space="preserve">Conformité absolue — adaptation aux cadres juridiques locaux.</w:t>
      </w:r>
    </w:p>
    <w:p>
      <w:pPr>
        <w:pStyle w:val="ListParagraph"/>
        <w:numPr>
          <w:ilvl w:val="0"/>
          <w:numId w:val="2"/>
        </w:numPr>
        <w:spacing w:after="60" w:line="260"/>
      </w:pPr>
      <w:r>
        <w:rPr>
          <w:rFonts w:ascii="Calibri" w:cs="Calibri" w:eastAsia="Calibri" w:hAnsi="Calibri"/>
          <w:sz w:val="20"/>
          <w:szCs w:val="20"/>
        </w:rPr>
        <w:t xml:space="preserve">Cohérence éthique — refus des marchés où nos valeurs ne peuvent s'appliquer.</w:t>
      </w:r>
    </w:p>
    <w:p>
      <w:pPr>
        <w:pStyle w:val="ListParagraph"/>
        <w:numPr>
          <w:ilvl w:val="0"/>
          <w:numId w:val="2"/>
        </w:numPr>
        <w:spacing w:after="60" w:line="260"/>
      </w:pPr>
      <w:r>
        <w:rPr>
          <w:rFonts w:ascii="Calibri" w:cs="Calibri" w:eastAsia="Calibri" w:hAnsi="Calibri"/>
          <w:sz w:val="20"/>
          <w:szCs w:val="20"/>
        </w:rPr>
        <w:t xml:space="preserve">Profitabilité prouvée — chaque marché doit être rentable au bout de 24 mois.</w:t>
      </w:r>
    </w:p>
    <w:p>
      <w:pPr>
        <w:spacing w:after="100" w:before="220"/>
      </w:pPr>
      <w:r>
        <w:rPr>
          <w:rFonts w:ascii="Calibri" w:cs="Calibri" w:eastAsia="Calibri" w:hAnsi="Calibri"/>
          <w:b/>
          <w:bCs/>
          <w:color w:val="E87722"/>
          <w:sz w:val="22"/>
          <w:szCs w:val="22"/>
        </w:rPr>
        <w:t xml:space="preserve">1.2. Refus structurés</w:t>
      </w:r>
    </w:p>
    <w:p>
      <w:pPr>
        <w:pStyle w:val="ListParagraph"/>
        <w:numPr>
          <w:ilvl w:val="0"/>
          <w:numId w:val="2"/>
        </w:numPr>
        <w:spacing w:after="60" w:line="260"/>
      </w:pPr>
      <w:r>
        <w:rPr>
          <w:rFonts w:ascii="Calibri" w:cs="Calibri" w:eastAsia="Calibri" w:hAnsi="Calibri"/>
          <w:sz w:val="20"/>
          <w:szCs w:val="20"/>
        </w:rPr>
        <w:t xml:space="preserve">Pas d'expansion en pays autoritaires ou de non-droit.</w:t>
      </w:r>
    </w:p>
    <w:p>
      <w:pPr>
        <w:pStyle w:val="ListParagraph"/>
        <w:numPr>
          <w:ilvl w:val="0"/>
          <w:numId w:val="2"/>
        </w:numPr>
        <w:spacing w:after="60" w:line="260"/>
      </w:pPr>
      <w:r>
        <w:rPr>
          <w:rFonts w:ascii="Calibri" w:cs="Calibri" w:eastAsia="Calibri" w:hAnsi="Calibri"/>
          <w:sz w:val="20"/>
          <w:szCs w:val="20"/>
        </w:rPr>
        <w:t xml:space="preserve">Pas de modèle franchise / licence (cohérence âme Eventy).</w:t>
      </w:r>
    </w:p>
    <w:p>
      <w:pPr>
        <w:pStyle w:val="ListParagraph"/>
        <w:numPr>
          <w:ilvl w:val="0"/>
          <w:numId w:val="2"/>
        </w:numPr>
        <w:spacing w:after="60" w:line="260"/>
      </w:pPr>
      <w:r>
        <w:rPr>
          <w:rFonts w:ascii="Calibri" w:cs="Calibri" w:eastAsia="Calibri" w:hAnsi="Calibri"/>
          <w:sz w:val="20"/>
          <w:szCs w:val="20"/>
        </w:rPr>
        <w:t xml:space="preserve">Pas d'acquisition d'opérateur concurrent en An 1-3 (croissance organique).</w:t>
      </w:r>
    </w:p>
    <w:p>
      <w:pPr>
        <w:pStyle w:val="ListParagraph"/>
        <w:numPr>
          <w:ilvl w:val="0"/>
          <w:numId w:val="2"/>
        </w:numPr>
        <w:spacing w:after="60" w:line="260"/>
      </w:pPr>
      <w:r>
        <w:rPr>
          <w:rFonts w:ascii="Calibri" w:cs="Calibri" w:eastAsia="Calibri" w:hAnsi="Calibri"/>
          <w:sz w:val="20"/>
          <w:szCs w:val="20"/>
        </w:rPr>
        <w:t xml:space="preserve">Pas de marché où nous ne pouvons garantir le Pack Sérénité.</w:t>
      </w:r>
    </w:p>
    <w:p>
      <w:pPr>
        <w:spacing w:after="160" w:before="240"/>
      </w:pPr>
      <w:r>
        <w:rPr>
          <w:rFonts w:ascii="Calibri" w:cs="Calibri" w:eastAsia="Calibri" w:hAnsi="Calibri"/>
          <w:b/>
          <w:bCs/>
          <w:color w:val="1F4E79"/>
          <w:sz w:val="32"/>
          <w:szCs w:val="32"/>
        </w:rPr>
        <w:t xml:space="preserve">2. Phases d'expansion</w:t>
      </w:r>
    </w:p>
    <w:p>
      <w:pPr>
        <w:spacing w:after="100" w:before="220"/>
      </w:pPr>
      <w:r>
        <w:rPr>
          <w:rFonts w:ascii="Calibri" w:cs="Calibri" w:eastAsia="Calibri" w:hAnsi="Calibri"/>
          <w:b/>
          <w:bCs/>
          <w:color w:val="E87722"/>
          <w:sz w:val="22"/>
          <w:szCs w:val="22"/>
        </w:rPr>
        <w:t xml:space="preserve">2.1. Phase 0 — Fondation France (An 1-2, 2026-2028)</w:t>
      </w:r>
    </w:p>
    <w:p>
      <w:pPr>
        <w:pStyle w:val="ListParagraph"/>
        <w:numPr>
          <w:ilvl w:val="0"/>
          <w:numId w:val="2"/>
        </w:numPr>
        <w:spacing w:after="60" w:line="260"/>
      </w:pPr>
      <w:r>
        <w:rPr>
          <w:rFonts w:ascii="Calibri" w:cs="Calibri" w:eastAsia="Calibri" w:hAnsi="Calibri"/>
          <w:sz w:val="20"/>
          <w:szCs w:val="20"/>
        </w:rPr>
        <w:t xml:space="preserve">Consolidation du marché français (HRA, créateurs, voyageurs).</w:t>
      </w:r>
    </w:p>
    <w:p>
      <w:pPr>
        <w:pStyle w:val="ListParagraph"/>
        <w:numPr>
          <w:ilvl w:val="0"/>
          <w:numId w:val="2"/>
        </w:numPr>
        <w:spacing w:after="60" w:line="260"/>
      </w:pPr>
      <w:r>
        <w:rPr>
          <w:rFonts w:ascii="Calibri" w:cs="Calibri" w:eastAsia="Calibri" w:hAnsi="Calibri"/>
          <w:sz w:val="20"/>
          <w:szCs w:val="20"/>
        </w:rPr>
        <w:t xml:space="preserve">Validation du modèle économique (rentabilité An 2).</w:t>
      </w:r>
    </w:p>
    <w:p>
      <w:pPr>
        <w:pStyle w:val="ListParagraph"/>
        <w:numPr>
          <w:ilvl w:val="0"/>
          <w:numId w:val="2"/>
        </w:numPr>
        <w:spacing w:after="60" w:line="260"/>
      </w:pPr>
      <w:r>
        <w:rPr>
          <w:rFonts w:ascii="Calibri" w:cs="Calibri" w:eastAsia="Calibri" w:hAnsi="Calibri"/>
          <w:sz w:val="20"/>
          <w:szCs w:val="20"/>
        </w:rPr>
        <w:t xml:space="preserve">Documentation processus stabilisée (cohérence ensemble du dispositif).</w:t>
      </w:r>
    </w:p>
    <w:p>
      <w:pPr>
        <w:pStyle w:val="ListParagraph"/>
        <w:numPr>
          <w:ilvl w:val="0"/>
          <w:numId w:val="2"/>
        </w:numPr>
        <w:spacing w:after="60" w:line="260"/>
      </w:pPr>
      <w:r>
        <w:rPr>
          <w:rFonts w:ascii="Calibri" w:cs="Calibri" w:eastAsia="Calibri" w:hAnsi="Calibri"/>
          <w:sz w:val="20"/>
          <w:szCs w:val="20"/>
        </w:rPr>
        <w:t xml:space="preserve">Atteinte ≥ 1 000 voyages opérés / an, ≥ 30 000 voyageurs cumul.</w:t>
      </w:r>
    </w:p>
    <w:p>
      <w:pPr>
        <w:spacing w:after="100" w:before="220"/>
      </w:pPr>
      <w:r>
        <w:rPr>
          <w:rFonts w:ascii="Calibri" w:cs="Calibri" w:eastAsia="Calibri" w:hAnsi="Calibri"/>
          <w:b/>
          <w:bCs/>
          <w:color w:val="E87722"/>
          <w:sz w:val="22"/>
          <w:szCs w:val="22"/>
        </w:rPr>
        <w:t xml:space="preserve">2.2. Phase 1 — Frontaliers Europe (An 2-3, 2028-2029)</w:t>
      </w:r>
    </w:p>
    <w:p>
      <w:pPr>
        <w:pStyle w:val="ListParagraph"/>
        <w:numPr>
          <w:ilvl w:val="0"/>
          <w:numId w:val="2"/>
        </w:numPr>
        <w:spacing w:after="60" w:line="260"/>
      </w:pPr>
      <w:r>
        <w:rPr>
          <w:rFonts w:ascii="Calibri" w:cs="Calibri" w:eastAsia="Calibri" w:hAnsi="Calibri"/>
          <w:sz w:val="20"/>
          <w:szCs w:val="20"/>
        </w:rPr>
        <w:t xml:space="preserve">Belgique francophone — proximité culturelle, base voyageur Eventy déjà active.</w:t>
      </w:r>
    </w:p>
    <w:p>
      <w:pPr>
        <w:pStyle w:val="ListParagraph"/>
        <w:numPr>
          <w:ilvl w:val="0"/>
          <w:numId w:val="2"/>
        </w:numPr>
        <w:spacing w:after="60" w:line="260"/>
      </w:pPr>
      <w:r>
        <w:rPr>
          <w:rFonts w:ascii="Calibri" w:cs="Calibri" w:eastAsia="Calibri" w:hAnsi="Calibri"/>
          <w:sz w:val="20"/>
          <w:szCs w:val="20"/>
        </w:rPr>
        <w:t xml:space="preserve">Suisse romande — segment premium, fort pouvoir d'achat.</w:t>
      </w:r>
    </w:p>
    <w:p>
      <w:pPr>
        <w:pStyle w:val="ListParagraph"/>
        <w:numPr>
          <w:ilvl w:val="0"/>
          <w:numId w:val="2"/>
        </w:numPr>
        <w:spacing w:after="60" w:line="260"/>
      </w:pPr>
      <w:r>
        <w:rPr>
          <w:rFonts w:ascii="Calibri" w:cs="Calibri" w:eastAsia="Calibri" w:hAnsi="Calibri"/>
          <w:sz w:val="20"/>
          <w:szCs w:val="20"/>
        </w:rPr>
        <w:t xml:space="preserve">Luxembourg — petit marché mais pouvoir d'achat élevé.</w:t>
      </w:r>
    </w:p>
    <w:p>
      <w:pPr>
        <w:pStyle w:val="ListParagraph"/>
        <w:numPr>
          <w:ilvl w:val="0"/>
          <w:numId w:val="2"/>
        </w:numPr>
        <w:spacing w:after="60" w:line="260"/>
      </w:pPr>
      <w:r>
        <w:rPr>
          <w:rFonts w:ascii="Calibri" w:cs="Calibri" w:eastAsia="Calibri" w:hAnsi="Calibri"/>
          <w:sz w:val="20"/>
          <w:szCs w:val="20"/>
        </w:rPr>
        <w:t xml:space="preserve">Site disponible en français + EN.</w:t>
      </w:r>
    </w:p>
    <w:p>
      <w:pPr>
        <w:pStyle w:val="ListParagraph"/>
        <w:numPr>
          <w:ilvl w:val="0"/>
          <w:numId w:val="2"/>
        </w:numPr>
        <w:spacing w:after="60" w:line="260"/>
      </w:pPr>
      <w:r>
        <w:rPr>
          <w:rFonts w:ascii="Calibri" w:cs="Calibri" w:eastAsia="Calibri" w:hAnsi="Calibri"/>
          <w:sz w:val="20"/>
          <w:szCs w:val="20"/>
        </w:rPr>
        <w:t xml:space="preserve">Capacité de réservation depuis ces 3 pays (paiement local, support email).</w:t>
      </w:r>
    </w:p>
    <w:p>
      <w:pPr>
        <w:spacing w:after="100" w:before="220"/>
      </w:pPr>
      <w:r>
        <w:rPr>
          <w:rFonts w:ascii="Calibri" w:cs="Calibri" w:eastAsia="Calibri" w:hAnsi="Calibri"/>
          <w:b/>
          <w:bCs/>
          <w:color w:val="E87722"/>
          <w:sz w:val="22"/>
          <w:szCs w:val="22"/>
        </w:rPr>
        <w:t xml:space="preserve">2.3. Phase 2 — Europe étendue (An 3-4, 2029-2030)</w:t>
      </w:r>
    </w:p>
    <w:p>
      <w:pPr>
        <w:pStyle w:val="ListParagraph"/>
        <w:numPr>
          <w:ilvl w:val="0"/>
          <w:numId w:val="2"/>
        </w:numPr>
        <w:spacing w:after="60" w:line="260"/>
      </w:pPr>
      <w:r>
        <w:rPr>
          <w:rFonts w:ascii="Calibri" w:cs="Calibri" w:eastAsia="Calibri" w:hAnsi="Calibri"/>
          <w:sz w:val="20"/>
          <w:szCs w:val="20"/>
        </w:rPr>
        <w:t xml:space="preserve">Espagne — gros marché, langue ES, accès direct.</w:t>
      </w:r>
    </w:p>
    <w:p>
      <w:pPr>
        <w:pStyle w:val="ListParagraph"/>
        <w:numPr>
          <w:ilvl w:val="0"/>
          <w:numId w:val="2"/>
        </w:numPr>
        <w:spacing w:after="60" w:line="260"/>
      </w:pPr>
      <w:r>
        <w:rPr>
          <w:rFonts w:ascii="Calibri" w:cs="Calibri" w:eastAsia="Calibri" w:hAnsi="Calibri"/>
          <w:sz w:val="20"/>
          <w:szCs w:val="20"/>
        </w:rPr>
        <w:t xml:space="preserve">Italie — gros marché, complémentaire avec destinations italiennes du catalogue.</w:t>
      </w:r>
    </w:p>
    <w:p>
      <w:pPr>
        <w:pStyle w:val="ListParagraph"/>
        <w:numPr>
          <w:ilvl w:val="0"/>
          <w:numId w:val="2"/>
        </w:numPr>
        <w:spacing w:after="60" w:line="260"/>
      </w:pPr>
      <w:r>
        <w:rPr>
          <w:rFonts w:ascii="Calibri" w:cs="Calibri" w:eastAsia="Calibri" w:hAnsi="Calibri"/>
          <w:sz w:val="20"/>
          <w:szCs w:val="20"/>
        </w:rPr>
        <w:t xml:space="preserve">Portugal — petit marché mais croissance forte.</w:t>
      </w:r>
    </w:p>
    <w:p>
      <w:pPr>
        <w:pStyle w:val="ListParagraph"/>
        <w:numPr>
          <w:ilvl w:val="0"/>
          <w:numId w:val="2"/>
        </w:numPr>
        <w:spacing w:after="60" w:line="260"/>
      </w:pPr>
      <w:r>
        <w:rPr>
          <w:rFonts w:ascii="Calibri" w:cs="Calibri" w:eastAsia="Calibri" w:hAnsi="Calibri"/>
          <w:sz w:val="20"/>
          <w:szCs w:val="20"/>
        </w:rPr>
        <w:t xml:space="preserve">Pays-Bas — anglophone, francophile, segment premium.</w:t>
      </w:r>
    </w:p>
    <w:p>
      <w:pPr>
        <w:pStyle w:val="ListParagraph"/>
        <w:numPr>
          <w:ilvl w:val="0"/>
          <w:numId w:val="2"/>
        </w:numPr>
        <w:spacing w:after="60" w:line="260"/>
      </w:pPr>
      <w:r>
        <w:rPr>
          <w:rFonts w:ascii="Calibri" w:cs="Calibri" w:eastAsia="Calibri" w:hAnsi="Calibri"/>
          <w:sz w:val="20"/>
          <w:szCs w:val="20"/>
        </w:rPr>
        <w:t xml:space="preserve">Site multilingue EN + ES + IT + PT + NL.</w:t>
      </w:r>
    </w:p>
    <w:p>
      <w:pPr>
        <w:pStyle w:val="ListParagraph"/>
        <w:numPr>
          <w:ilvl w:val="0"/>
          <w:numId w:val="2"/>
        </w:numPr>
        <w:spacing w:after="60" w:line="260"/>
      </w:pPr>
      <w:r>
        <w:rPr>
          <w:rFonts w:ascii="Calibri" w:cs="Calibri" w:eastAsia="Calibri" w:hAnsi="Calibri"/>
          <w:sz w:val="20"/>
          <w:szCs w:val="20"/>
        </w:rPr>
        <w:t xml:space="preserve">Création d'antennes locales (1 personne dédiée par pays cible).</w:t>
      </w:r>
    </w:p>
    <w:p>
      <w:pPr>
        <w:spacing w:after="100" w:before="220"/>
      </w:pPr>
      <w:r>
        <w:rPr>
          <w:rFonts w:ascii="Calibri" w:cs="Calibri" w:eastAsia="Calibri" w:hAnsi="Calibri"/>
          <w:b/>
          <w:bCs/>
          <w:color w:val="E87722"/>
          <w:sz w:val="22"/>
          <w:szCs w:val="22"/>
        </w:rPr>
        <w:t xml:space="preserve">2.4. Phase 3 — Europe totale (An 5-6, 2031-2032)</w:t>
      </w:r>
    </w:p>
    <w:p>
      <w:pPr>
        <w:pStyle w:val="ListParagraph"/>
        <w:numPr>
          <w:ilvl w:val="0"/>
          <w:numId w:val="2"/>
        </w:numPr>
        <w:spacing w:after="60" w:line="260"/>
      </w:pPr>
      <w:r>
        <w:rPr>
          <w:rFonts w:ascii="Calibri" w:cs="Calibri" w:eastAsia="Calibri" w:hAnsi="Calibri"/>
          <w:sz w:val="20"/>
          <w:szCs w:val="20"/>
        </w:rPr>
        <w:t xml:space="preserve">Allemagne — gros marché B2B.</w:t>
      </w:r>
    </w:p>
    <w:p>
      <w:pPr>
        <w:pStyle w:val="ListParagraph"/>
        <w:numPr>
          <w:ilvl w:val="0"/>
          <w:numId w:val="2"/>
        </w:numPr>
        <w:spacing w:after="60" w:line="260"/>
      </w:pPr>
      <w:r>
        <w:rPr>
          <w:rFonts w:ascii="Calibri" w:cs="Calibri" w:eastAsia="Calibri" w:hAnsi="Calibri"/>
          <w:sz w:val="20"/>
          <w:szCs w:val="20"/>
        </w:rPr>
        <w:t xml:space="preserve">Royaume-Uni (post-Brexit, encadrement spécifique).</w:t>
      </w:r>
    </w:p>
    <w:p>
      <w:pPr>
        <w:pStyle w:val="ListParagraph"/>
        <w:numPr>
          <w:ilvl w:val="0"/>
          <w:numId w:val="2"/>
        </w:numPr>
        <w:spacing w:after="60" w:line="260"/>
      </w:pPr>
      <w:r>
        <w:rPr>
          <w:rFonts w:ascii="Calibri" w:cs="Calibri" w:eastAsia="Calibri" w:hAnsi="Calibri"/>
          <w:sz w:val="20"/>
          <w:szCs w:val="20"/>
        </w:rPr>
        <w:t xml:space="preserve">Pays nordiques (Danemark, Suède, Norvège).</w:t>
      </w:r>
    </w:p>
    <w:p>
      <w:pPr>
        <w:pStyle w:val="ListParagraph"/>
        <w:numPr>
          <w:ilvl w:val="0"/>
          <w:numId w:val="2"/>
        </w:numPr>
        <w:spacing w:after="60" w:line="260"/>
      </w:pPr>
      <w:r>
        <w:rPr>
          <w:rFonts w:ascii="Calibri" w:cs="Calibri" w:eastAsia="Calibri" w:hAnsi="Calibri"/>
          <w:sz w:val="20"/>
          <w:szCs w:val="20"/>
        </w:rPr>
        <w:t xml:space="preserve">Europe centrale (Pologne, République tchèque, Autriche).</w:t>
      </w:r>
    </w:p>
    <w:p>
      <w:pPr>
        <w:spacing w:after="100" w:before="220"/>
      </w:pPr>
      <w:r>
        <w:rPr>
          <w:rFonts w:ascii="Calibri" w:cs="Calibri" w:eastAsia="Calibri" w:hAnsi="Calibri"/>
          <w:b/>
          <w:bCs/>
          <w:color w:val="E87722"/>
          <w:sz w:val="22"/>
          <w:szCs w:val="22"/>
        </w:rPr>
        <w:t xml:space="preserve">2.5. Phase 4 — Marchés extra-européens (An 7+, 2033+)</w:t>
      </w:r>
    </w:p>
    <w:p>
      <w:pPr>
        <w:pStyle w:val="ListParagraph"/>
        <w:numPr>
          <w:ilvl w:val="0"/>
          <w:numId w:val="2"/>
        </w:numPr>
        <w:spacing w:after="60" w:line="260"/>
      </w:pPr>
      <w:r>
        <w:rPr>
          <w:rFonts w:ascii="Calibri" w:cs="Calibri" w:eastAsia="Calibri" w:hAnsi="Calibri"/>
          <w:sz w:val="20"/>
          <w:szCs w:val="20"/>
        </w:rPr>
        <w:t xml:space="preserve">Canada (Québec francophone en priorité).</w:t>
      </w:r>
    </w:p>
    <w:p>
      <w:pPr>
        <w:pStyle w:val="ListParagraph"/>
        <w:numPr>
          <w:ilvl w:val="0"/>
          <w:numId w:val="2"/>
        </w:numPr>
        <w:spacing w:after="60" w:line="260"/>
      </w:pPr>
      <w:r>
        <w:rPr>
          <w:rFonts w:ascii="Calibri" w:cs="Calibri" w:eastAsia="Calibri" w:hAnsi="Calibri"/>
          <w:sz w:val="20"/>
          <w:szCs w:val="20"/>
        </w:rPr>
        <w:t xml:space="preserve">Marchés émergents asiatiques (à étudier).</w:t>
      </w:r>
    </w:p>
    <w:p>
      <w:pPr>
        <w:pStyle w:val="ListParagraph"/>
        <w:numPr>
          <w:ilvl w:val="0"/>
          <w:numId w:val="2"/>
        </w:numPr>
        <w:spacing w:after="60" w:line="260"/>
      </w:pPr>
      <w:r>
        <w:rPr>
          <w:rFonts w:ascii="Calibri" w:cs="Calibri" w:eastAsia="Calibri" w:hAnsi="Calibri"/>
          <w:sz w:val="20"/>
          <w:szCs w:val="20"/>
        </w:rPr>
        <w:t xml:space="preserve">Pas d'États-Unis avant maturation totale du modèle (cadre fragmenté).</w:t>
      </w:r>
    </w:p>
    <w:p>
      <w:pPr>
        <w:spacing w:after="160" w:before="240"/>
      </w:pPr>
      <w:r>
        <w:rPr>
          <w:rFonts w:ascii="Calibri" w:cs="Calibri" w:eastAsia="Calibri" w:hAnsi="Calibri"/>
          <w:b/>
          <w:bCs/>
          <w:color w:val="1F4E79"/>
          <w:sz w:val="32"/>
          <w:szCs w:val="32"/>
        </w:rPr>
        <w:t xml:space="preserve">3. Adaptation par marché</w:t>
      </w:r>
    </w:p>
    <w:p>
      <w:pPr>
        <w:spacing w:after="100" w:before="220"/>
      </w:pPr>
      <w:r>
        <w:rPr>
          <w:rFonts w:ascii="Calibri" w:cs="Calibri" w:eastAsia="Calibri" w:hAnsi="Calibri"/>
          <w:b/>
          <w:bCs/>
          <w:color w:val="E87722"/>
          <w:sz w:val="22"/>
          <w:szCs w:val="22"/>
        </w:rPr>
        <w:t xml:space="preserve">3.1. Adaptation linguistique</w:t>
      </w:r>
    </w:p>
    <w:p>
      <w:pPr>
        <w:pStyle w:val="ListParagraph"/>
        <w:numPr>
          <w:ilvl w:val="0"/>
          <w:numId w:val="2"/>
        </w:numPr>
        <w:spacing w:after="60" w:line="260"/>
      </w:pPr>
      <w:r>
        <w:rPr>
          <w:rFonts w:ascii="Calibri" w:cs="Calibri" w:eastAsia="Calibri" w:hAnsi="Calibri"/>
          <w:sz w:val="20"/>
          <w:szCs w:val="20"/>
        </w:rPr>
        <w:t xml:space="preserve">Site multilingue (cohérence Roadmap technique).</w:t>
      </w:r>
    </w:p>
    <w:p>
      <w:pPr>
        <w:pStyle w:val="ListParagraph"/>
        <w:numPr>
          <w:ilvl w:val="0"/>
          <w:numId w:val="2"/>
        </w:numPr>
        <w:spacing w:after="60" w:line="260"/>
      </w:pPr>
      <w:r>
        <w:rPr>
          <w:rFonts w:ascii="Calibri" w:cs="Calibri" w:eastAsia="Calibri" w:hAnsi="Calibri"/>
          <w:sz w:val="20"/>
          <w:szCs w:val="20"/>
        </w:rPr>
        <w:t xml:space="preserve">Traductions humaines (pas de machine translation pour les contenus contractuels).</w:t>
      </w:r>
    </w:p>
    <w:p>
      <w:pPr>
        <w:pStyle w:val="ListParagraph"/>
        <w:numPr>
          <w:ilvl w:val="0"/>
          <w:numId w:val="2"/>
        </w:numPr>
        <w:spacing w:after="60" w:line="260"/>
      </w:pPr>
      <w:r>
        <w:rPr>
          <w:rFonts w:ascii="Calibri" w:cs="Calibri" w:eastAsia="Calibri" w:hAnsi="Calibri"/>
          <w:sz w:val="20"/>
          <w:szCs w:val="20"/>
        </w:rPr>
        <w:t xml:space="preserve">Adaptation culturelle des contenus (ton, références, exemples).</w:t>
      </w:r>
    </w:p>
    <w:p>
      <w:pPr>
        <w:pStyle w:val="ListParagraph"/>
        <w:numPr>
          <w:ilvl w:val="0"/>
          <w:numId w:val="2"/>
        </w:numPr>
        <w:spacing w:after="60" w:line="260"/>
      </w:pPr>
      <w:r>
        <w:rPr>
          <w:rFonts w:ascii="Calibri" w:cs="Calibri" w:eastAsia="Calibri" w:hAnsi="Calibri"/>
          <w:sz w:val="20"/>
          <w:szCs w:val="20"/>
        </w:rPr>
        <w:t xml:space="preserve">Support client multilingue (priorité : EN, ES, IT, DE).</w:t>
      </w:r>
    </w:p>
    <w:p>
      <w:pPr>
        <w:spacing w:after="100" w:before="220"/>
      </w:pPr>
      <w:r>
        <w:rPr>
          <w:rFonts w:ascii="Calibri" w:cs="Calibri" w:eastAsia="Calibri" w:hAnsi="Calibri"/>
          <w:b/>
          <w:bCs/>
          <w:color w:val="E87722"/>
          <w:sz w:val="22"/>
          <w:szCs w:val="22"/>
        </w:rPr>
        <w:t xml:space="preserve">3.2. Adaptation juridique</w:t>
      </w:r>
    </w:p>
    <w:p>
      <w:pPr>
        <w:pStyle w:val="ListParagraph"/>
        <w:numPr>
          <w:ilvl w:val="0"/>
          <w:numId w:val="2"/>
        </w:numPr>
        <w:spacing w:after="60" w:line="260"/>
      </w:pPr>
      <w:r>
        <w:rPr>
          <w:rFonts w:ascii="Calibri" w:cs="Calibri" w:eastAsia="Calibri" w:hAnsi="Calibri"/>
          <w:sz w:val="20"/>
          <w:szCs w:val="20"/>
        </w:rPr>
        <w:t xml:space="preserve">Conformité aux réglementations tourisme locales (équivalents Atout France).</w:t>
      </w:r>
    </w:p>
    <w:p>
      <w:pPr>
        <w:pStyle w:val="ListParagraph"/>
        <w:numPr>
          <w:ilvl w:val="0"/>
          <w:numId w:val="2"/>
        </w:numPr>
        <w:spacing w:after="60" w:line="260"/>
      </w:pPr>
      <w:r>
        <w:rPr>
          <w:rFonts w:ascii="Calibri" w:cs="Calibri" w:eastAsia="Calibri" w:hAnsi="Calibri"/>
          <w:sz w:val="20"/>
          <w:szCs w:val="20"/>
        </w:rPr>
        <w:t xml:space="preserve">Garanties financières locales (équivalents APST).</w:t>
      </w:r>
    </w:p>
    <w:p>
      <w:pPr>
        <w:pStyle w:val="ListParagraph"/>
        <w:numPr>
          <w:ilvl w:val="0"/>
          <w:numId w:val="2"/>
        </w:numPr>
        <w:spacing w:after="60" w:line="260"/>
      </w:pPr>
      <w:r>
        <w:rPr>
          <w:rFonts w:ascii="Calibri" w:cs="Calibri" w:eastAsia="Calibri" w:hAnsi="Calibri"/>
          <w:sz w:val="20"/>
          <w:szCs w:val="20"/>
        </w:rPr>
        <w:t xml:space="preserve">CGV adaptées par pays (avec validation avocat local).</w:t>
      </w:r>
    </w:p>
    <w:p>
      <w:pPr>
        <w:pStyle w:val="ListParagraph"/>
        <w:numPr>
          <w:ilvl w:val="0"/>
          <w:numId w:val="2"/>
        </w:numPr>
        <w:spacing w:after="60" w:line="260"/>
      </w:pPr>
      <w:r>
        <w:rPr>
          <w:rFonts w:ascii="Calibri" w:cs="Calibri" w:eastAsia="Calibri" w:hAnsi="Calibri"/>
          <w:sz w:val="20"/>
          <w:szCs w:val="20"/>
        </w:rPr>
        <w:t xml:space="preserve">Droit applicable : droit français pour le contrat principal, droit local pour les recours consommateurs.</w:t>
      </w:r>
    </w:p>
    <w:p>
      <w:pPr>
        <w:pStyle w:val="ListParagraph"/>
        <w:numPr>
          <w:ilvl w:val="0"/>
          <w:numId w:val="2"/>
        </w:numPr>
        <w:spacing w:after="60" w:line="260"/>
      </w:pPr>
      <w:r>
        <w:rPr>
          <w:rFonts w:ascii="Calibri" w:cs="Calibri" w:eastAsia="Calibri" w:hAnsi="Calibri"/>
          <w:sz w:val="20"/>
          <w:szCs w:val="20"/>
        </w:rPr>
        <w:t xml:space="preserve">Cohérence avec directive UE 2015/2302 (forfaits touristiques).</w:t>
      </w:r>
    </w:p>
    <w:p>
      <w:pPr>
        <w:spacing w:after="100" w:before="220"/>
      </w:pPr>
      <w:r>
        <w:rPr>
          <w:rFonts w:ascii="Calibri" w:cs="Calibri" w:eastAsia="Calibri" w:hAnsi="Calibri"/>
          <w:b/>
          <w:bCs/>
          <w:color w:val="E87722"/>
          <w:sz w:val="22"/>
          <w:szCs w:val="22"/>
        </w:rPr>
        <w:t xml:space="preserve">3.3. Adaptation fiscale</w:t>
      </w:r>
    </w:p>
    <w:p>
      <w:pPr>
        <w:pStyle w:val="ListParagraph"/>
        <w:numPr>
          <w:ilvl w:val="0"/>
          <w:numId w:val="2"/>
        </w:numPr>
        <w:spacing w:after="60" w:line="260"/>
      </w:pPr>
      <w:r>
        <w:rPr>
          <w:rFonts w:ascii="Calibri" w:cs="Calibri" w:eastAsia="Calibri" w:hAnsi="Calibri"/>
          <w:sz w:val="20"/>
          <w:szCs w:val="20"/>
        </w:rPr>
        <w:t xml:space="preserve">TVA marge applicable dans tous les pays UE (régime tourisme).</w:t>
      </w:r>
    </w:p>
    <w:p>
      <w:pPr>
        <w:pStyle w:val="ListParagraph"/>
        <w:numPr>
          <w:ilvl w:val="0"/>
          <w:numId w:val="2"/>
        </w:numPr>
        <w:spacing w:after="60" w:line="260"/>
      </w:pPr>
      <w:r>
        <w:rPr>
          <w:rFonts w:ascii="Calibri" w:cs="Calibri" w:eastAsia="Calibri" w:hAnsi="Calibri"/>
          <w:sz w:val="20"/>
          <w:szCs w:val="20"/>
        </w:rPr>
        <w:t xml:space="preserve">Accompagnement expert-comptable spécialisé international (cohérence Note expert-comptable).</w:t>
      </w:r>
    </w:p>
    <w:p>
      <w:pPr>
        <w:pStyle w:val="ListParagraph"/>
        <w:numPr>
          <w:ilvl w:val="0"/>
          <w:numId w:val="2"/>
        </w:numPr>
        <w:spacing w:after="60" w:line="260"/>
      </w:pPr>
      <w:r>
        <w:rPr>
          <w:rFonts w:ascii="Calibri" w:cs="Calibri" w:eastAsia="Calibri" w:hAnsi="Calibri"/>
          <w:sz w:val="20"/>
          <w:szCs w:val="20"/>
        </w:rPr>
        <w:t xml:space="preserve">Transfer pricing si entités juridiques distinctes créées.</w:t>
      </w:r>
    </w:p>
    <w:p>
      <w:pPr>
        <w:pStyle w:val="ListParagraph"/>
        <w:numPr>
          <w:ilvl w:val="0"/>
          <w:numId w:val="2"/>
        </w:numPr>
        <w:spacing w:after="60" w:line="260"/>
      </w:pPr>
      <w:r>
        <w:rPr>
          <w:rFonts w:ascii="Calibri" w:cs="Calibri" w:eastAsia="Calibri" w:hAnsi="Calibri"/>
          <w:sz w:val="20"/>
          <w:szCs w:val="20"/>
        </w:rPr>
        <w:t xml:space="preserve">Conventions fiscales internationales respectées.</w:t>
      </w:r>
    </w:p>
    <w:p>
      <w:pPr>
        <w:spacing w:after="100" w:before="220"/>
      </w:pPr>
      <w:r>
        <w:rPr>
          <w:rFonts w:ascii="Calibri" w:cs="Calibri" w:eastAsia="Calibri" w:hAnsi="Calibri"/>
          <w:b/>
          <w:bCs/>
          <w:color w:val="E87722"/>
          <w:sz w:val="22"/>
          <w:szCs w:val="22"/>
        </w:rPr>
        <w:t xml:space="preserve">3.4. Adaptation paiement</w:t>
      </w:r>
    </w:p>
    <w:p>
      <w:pPr>
        <w:pStyle w:val="ListParagraph"/>
        <w:numPr>
          <w:ilvl w:val="0"/>
          <w:numId w:val="2"/>
        </w:numPr>
        <w:spacing w:after="60" w:line="260"/>
      </w:pPr>
      <w:r>
        <w:rPr>
          <w:rFonts w:ascii="Calibri" w:cs="Calibri" w:eastAsia="Calibri" w:hAnsi="Calibri"/>
          <w:sz w:val="20"/>
          <w:szCs w:val="20"/>
        </w:rPr>
        <w:t xml:space="preserve">Stripe Connect multi-devise.</w:t>
      </w:r>
    </w:p>
    <w:p>
      <w:pPr>
        <w:pStyle w:val="ListParagraph"/>
        <w:numPr>
          <w:ilvl w:val="0"/>
          <w:numId w:val="2"/>
        </w:numPr>
        <w:spacing w:after="60" w:line="260"/>
      </w:pPr>
      <w:r>
        <w:rPr>
          <w:rFonts w:ascii="Calibri" w:cs="Calibri" w:eastAsia="Calibri" w:hAnsi="Calibri"/>
          <w:sz w:val="20"/>
          <w:szCs w:val="20"/>
        </w:rPr>
        <w:t xml:space="preserve">Modes locaux (iDEAL Pays-Bas, Bancontact Belgique, etc.).</w:t>
      </w:r>
    </w:p>
    <w:p>
      <w:pPr>
        <w:pStyle w:val="ListParagraph"/>
        <w:numPr>
          <w:ilvl w:val="0"/>
          <w:numId w:val="2"/>
        </w:numPr>
        <w:spacing w:after="60" w:line="260"/>
      </w:pPr>
      <w:r>
        <w:rPr>
          <w:rFonts w:ascii="Calibri" w:cs="Calibri" w:eastAsia="Calibri" w:hAnsi="Calibri"/>
          <w:sz w:val="20"/>
          <w:szCs w:val="20"/>
        </w:rPr>
        <w:t xml:space="preserve">RIB local possible pour les voyageurs.</w:t>
      </w:r>
    </w:p>
    <w:p>
      <w:pPr>
        <w:spacing w:after="160" w:before="240"/>
      </w:pPr>
      <w:r>
        <w:rPr>
          <w:rFonts w:ascii="Calibri" w:cs="Calibri" w:eastAsia="Calibri" w:hAnsi="Calibri"/>
          <w:b/>
          <w:bCs/>
          <w:color w:val="1F4E79"/>
          <w:sz w:val="32"/>
          <w:szCs w:val="32"/>
        </w:rPr>
        <w:t xml:space="preserve">4. Modèle organisationnel international</w:t>
      </w:r>
    </w:p>
    <w:p>
      <w:pPr>
        <w:spacing w:after="100" w:before="220"/>
      </w:pPr>
      <w:r>
        <w:rPr>
          <w:rFonts w:ascii="Calibri" w:cs="Calibri" w:eastAsia="Calibri" w:hAnsi="Calibri"/>
          <w:b/>
          <w:bCs/>
          <w:color w:val="E87722"/>
          <w:sz w:val="22"/>
          <w:szCs w:val="22"/>
        </w:rPr>
        <w:t xml:space="preserve">4.1. Phase 1 (frontaliers)</w:t>
      </w:r>
    </w:p>
    <w:p>
      <w:pPr>
        <w:pStyle w:val="ListParagraph"/>
        <w:numPr>
          <w:ilvl w:val="0"/>
          <w:numId w:val="2"/>
        </w:numPr>
        <w:spacing w:after="60" w:line="260"/>
      </w:pPr>
      <w:r>
        <w:rPr>
          <w:rFonts w:ascii="Calibri" w:cs="Calibri" w:eastAsia="Calibri" w:hAnsi="Calibri"/>
          <w:sz w:val="20"/>
          <w:szCs w:val="20"/>
        </w:rPr>
        <w:t xml:space="preserve">Pas de filiale locale — opérations depuis France.</w:t>
      </w:r>
    </w:p>
    <w:p>
      <w:pPr>
        <w:pStyle w:val="ListParagraph"/>
        <w:numPr>
          <w:ilvl w:val="0"/>
          <w:numId w:val="2"/>
        </w:numPr>
        <w:spacing w:after="60" w:line="260"/>
      </w:pPr>
      <w:r>
        <w:rPr>
          <w:rFonts w:ascii="Calibri" w:cs="Calibri" w:eastAsia="Calibri" w:hAnsi="Calibri"/>
          <w:sz w:val="20"/>
          <w:szCs w:val="20"/>
        </w:rPr>
        <w:t xml:space="preserve">Site multilingue, support multilingue.</w:t>
      </w:r>
    </w:p>
    <w:p>
      <w:pPr>
        <w:pStyle w:val="ListParagraph"/>
        <w:numPr>
          <w:ilvl w:val="0"/>
          <w:numId w:val="2"/>
        </w:numPr>
        <w:spacing w:after="60" w:line="260"/>
      </w:pPr>
      <w:r>
        <w:rPr>
          <w:rFonts w:ascii="Calibri" w:cs="Calibri" w:eastAsia="Calibri" w:hAnsi="Calibri"/>
          <w:sz w:val="20"/>
          <w:szCs w:val="20"/>
        </w:rPr>
        <w:t xml:space="preserve">Partenariats HRA locaux via les créateurs Eventy.</w:t>
      </w:r>
    </w:p>
    <w:p>
      <w:pPr>
        <w:spacing w:after="100" w:before="220"/>
      </w:pPr>
      <w:r>
        <w:rPr>
          <w:rFonts w:ascii="Calibri" w:cs="Calibri" w:eastAsia="Calibri" w:hAnsi="Calibri"/>
          <w:b/>
          <w:bCs/>
          <w:color w:val="E87722"/>
          <w:sz w:val="22"/>
          <w:szCs w:val="22"/>
        </w:rPr>
        <w:t xml:space="preserve">4.2. Phase 2 (Europe étendue)</w:t>
      </w:r>
    </w:p>
    <w:p>
      <w:pPr>
        <w:pStyle w:val="ListParagraph"/>
        <w:numPr>
          <w:ilvl w:val="0"/>
          <w:numId w:val="2"/>
        </w:numPr>
        <w:spacing w:after="60" w:line="260"/>
      </w:pPr>
      <w:r>
        <w:rPr>
          <w:rFonts w:ascii="Calibri" w:cs="Calibri" w:eastAsia="Calibri" w:hAnsi="Calibri"/>
          <w:sz w:val="20"/>
          <w:szCs w:val="20"/>
        </w:rPr>
        <w:t xml:space="preserve">Antennes locales : 1 country manager + 1 chargé(e) opérations par pays cible.</w:t>
      </w:r>
    </w:p>
    <w:p>
      <w:pPr>
        <w:pStyle w:val="ListParagraph"/>
        <w:numPr>
          <w:ilvl w:val="0"/>
          <w:numId w:val="2"/>
        </w:numPr>
        <w:spacing w:after="60" w:line="260"/>
      </w:pPr>
      <w:r>
        <w:rPr>
          <w:rFonts w:ascii="Calibri" w:cs="Calibri" w:eastAsia="Calibri" w:hAnsi="Calibri"/>
          <w:sz w:val="20"/>
          <w:szCs w:val="20"/>
        </w:rPr>
        <w:t xml:space="preserve">Pas encore de filiale juridique — bureau de représentation.</w:t>
      </w:r>
    </w:p>
    <w:p>
      <w:pPr>
        <w:pStyle w:val="ListParagraph"/>
        <w:numPr>
          <w:ilvl w:val="0"/>
          <w:numId w:val="2"/>
        </w:numPr>
        <w:spacing w:after="60" w:line="260"/>
      </w:pPr>
      <w:r>
        <w:rPr>
          <w:rFonts w:ascii="Calibri" w:cs="Calibri" w:eastAsia="Calibri" w:hAnsi="Calibri"/>
          <w:sz w:val="20"/>
          <w:szCs w:val="20"/>
        </w:rPr>
        <w:t xml:space="preserve">Recrutement local prioritaire (cohérence Procédure de recrutement).</w:t>
      </w:r>
    </w:p>
    <w:p>
      <w:pPr>
        <w:spacing w:after="100" w:before="220"/>
      </w:pPr>
      <w:r>
        <w:rPr>
          <w:rFonts w:ascii="Calibri" w:cs="Calibri" w:eastAsia="Calibri" w:hAnsi="Calibri"/>
          <w:b/>
          <w:bCs/>
          <w:color w:val="E87722"/>
          <w:sz w:val="22"/>
          <w:szCs w:val="22"/>
        </w:rPr>
        <w:t xml:space="preserve">4.3. Phase 3-4 (Europe totale + extra-européen)</w:t>
      </w:r>
    </w:p>
    <w:p>
      <w:pPr>
        <w:pStyle w:val="ListParagraph"/>
        <w:numPr>
          <w:ilvl w:val="0"/>
          <w:numId w:val="2"/>
        </w:numPr>
        <w:spacing w:after="60" w:line="260"/>
      </w:pPr>
      <w:r>
        <w:rPr>
          <w:rFonts w:ascii="Calibri" w:cs="Calibri" w:eastAsia="Calibri" w:hAnsi="Calibri"/>
          <w:sz w:val="20"/>
          <w:szCs w:val="20"/>
        </w:rPr>
        <w:t xml:space="preserve">Filiales juridiques par pays ou région.</w:t>
      </w:r>
    </w:p>
    <w:p>
      <w:pPr>
        <w:pStyle w:val="ListParagraph"/>
        <w:numPr>
          <w:ilvl w:val="0"/>
          <w:numId w:val="2"/>
        </w:numPr>
        <w:spacing w:after="60" w:line="260"/>
      </w:pPr>
      <w:r>
        <w:rPr>
          <w:rFonts w:ascii="Calibri" w:cs="Calibri" w:eastAsia="Calibri" w:hAnsi="Calibri"/>
          <w:sz w:val="20"/>
          <w:szCs w:val="20"/>
        </w:rPr>
        <w:t xml:space="preserve">Équipes locales étoffées.</w:t>
      </w:r>
    </w:p>
    <w:p>
      <w:pPr>
        <w:pStyle w:val="ListParagraph"/>
        <w:numPr>
          <w:ilvl w:val="0"/>
          <w:numId w:val="2"/>
        </w:numPr>
        <w:spacing w:after="60" w:line="260"/>
      </w:pPr>
      <w:r>
        <w:rPr>
          <w:rFonts w:ascii="Calibri" w:cs="Calibri" w:eastAsia="Calibri" w:hAnsi="Calibri"/>
          <w:sz w:val="20"/>
          <w:szCs w:val="20"/>
        </w:rPr>
        <w:t xml:space="preserve">Maintien de la cohérence opérationnelle via charte commune.</w:t>
      </w:r>
    </w:p>
    <w:p>
      <w:pPr>
        <w:spacing w:after="160" w:before="240"/>
      </w:pPr>
      <w:r>
        <w:rPr>
          <w:rFonts w:ascii="Calibri" w:cs="Calibri" w:eastAsia="Calibri" w:hAnsi="Calibri"/>
          <w:b/>
          <w:bCs/>
          <w:color w:val="1F4E79"/>
          <w:sz w:val="32"/>
          <w:szCs w:val="32"/>
        </w:rPr>
        <w:t xml:space="preserve">5. Indicateurs d'expansion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rPr>
          <w:tblHeader/>
        </w:trPr>
        <w:tc>
          <w:tcPr>
            <w:tcW w:type="dxa" w:w="3744"/>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1872"/>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An 3</w:t>
            </w:r>
          </w:p>
        </w:tc>
        <w:tc>
          <w:tcPr>
            <w:tcW w:type="dxa" w:w="1872"/>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An 5</w:t>
            </w:r>
          </w:p>
        </w:tc>
        <w:tc>
          <w:tcPr>
            <w:tcW w:type="dxa" w:w="1872"/>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An 7</w:t>
            </w:r>
          </w:p>
        </w:tc>
      </w:tr>
      <w:tr>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Pays opérés</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5-7</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10-12</w:t>
            </w:r>
          </w:p>
        </w:tc>
      </w:tr>
      <w:tr>
        <w:tc>
          <w:tcPr>
            <w:tcW w:type="dxa" w:w="374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CA international</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5 %</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25 %</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40 %</w:t>
            </w:r>
          </w:p>
        </w:tc>
      </w:tr>
      <w:tr>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Antennes locales</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3-5</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8-10</w:t>
            </w:r>
          </w:p>
        </w:tc>
      </w:tr>
      <w:tr>
        <w:tc>
          <w:tcPr>
            <w:tcW w:type="dxa" w:w="374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Voyageurs étrangers / an</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500</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5 000</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25 000</w:t>
            </w:r>
          </w:p>
        </w:tc>
      </w:tr>
      <w:tr>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Langues du site</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FR + EN</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 langues</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8 langues</w:t>
            </w:r>
          </w:p>
        </w:tc>
      </w:tr>
      <w:tr>
        <w:tc>
          <w:tcPr>
            <w:tcW w:type="dxa" w:w="374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Délai rentabilité par marché</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24 mois</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18 mois</w:t>
            </w:r>
          </w:p>
        </w:tc>
      </w:tr>
    </w:tbl>
    <w:p>
      <w:pPr>
        <w:spacing w:after="160" w:before="240"/>
      </w:pPr>
      <w:r>
        <w:rPr>
          <w:rFonts w:ascii="Calibri" w:cs="Calibri" w:eastAsia="Calibri" w:hAnsi="Calibri"/>
          <w:b/>
          <w:bCs/>
          <w:color w:val="1F4E79"/>
          <w:sz w:val="32"/>
          <w:szCs w:val="32"/>
        </w:rPr>
        <w:t xml:space="preserve">6. Risques et mitigations</w:t>
      </w:r>
    </w:p>
    <w:p>
      <w:pPr>
        <w:spacing w:after="100" w:before="220"/>
      </w:pPr>
      <w:r>
        <w:rPr>
          <w:rFonts w:ascii="Calibri" w:cs="Calibri" w:eastAsia="Calibri" w:hAnsi="Calibri"/>
          <w:b/>
          <w:bCs/>
          <w:color w:val="E87722"/>
          <w:sz w:val="22"/>
          <w:szCs w:val="22"/>
        </w:rPr>
        <w:t xml:space="preserve">6.1. Risques identifiés</w:t>
      </w:r>
    </w:p>
    <w:p>
      <w:pPr>
        <w:pStyle w:val="ListParagraph"/>
        <w:numPr>
          <w:ilvl w:val="0"/>
          <w:numId w:val="2"/>
        </w:numPr>
        <w:spacing w:after="60" w:line="260"/>
      </w:pPr>
      <w:r>
        <w:rPr>
          <w:rFonts w:ascii="Calibri" w:cs="Calibri" w:eastAsia="Calibri" w:hAnsi="Calibri"/>
          <w:sz w:val="20"/>
          <w:szCs w:val="20"/>
        </w:rPr>
        <w:t xml:space="preserve">Diversion managériale (équipe trop sollicitée par l'international au détriment de la France).</w:t>
      </w:r>
    </w:p>
    <w:p>
      <w:pPr>
        <w:pStyle w:val="ListParagraph"/>
        <w:numPr>
          <w:ilvl w:val="0"/>
          <w:numId w:val="2"/>
        </w:numPr>
        <w:spacing w:after="60" w:line="260"/>
      </w:pPr>
      <w:r>
        <w:rPr>
          <w:rFonts w:ascii="Calibri" w:cs="Calibri" w:eastAsia="Calibri" w:hAnsi="Calibri"/>
          <w:sz w:val="20"/>
          <w:szCs w:val="20"/>
        </w:rPr>
        <w:t xml:space="preserve">Risque réglementaire (méconnaissance droit local).</w:t>
      </w:r>
    </w:p>
    <w:p>
      <w:pPr>
        <w:pStyle w:val="ListParagraph"/>
        <w:numPr>
          <w:ilvl w:val="0"/>
          <w:numId w:val="2"/>
        </w:numPr>
        <w:spacing w:after="60" w:line="260"/>
      </w:pPr>
      <w:r>
        <w:rPr>
          <w:rFonts w:ascii="Calibri" w:cs="Calibri" w:eastAsia="Calibri" w:hAnsi="Calibri"/>
          <w:sz w:val="20"/>
          <w:szCs w:val="20"/>
        </w:rPr>
        <w:t xml:space="preserve">Risque culturel (modèle Eventy mal adapté à un marché).</w:t>
      </w:r>
    </w:p>
    <w:p>
      <w:pPr>
        <w:pStyle w:val="ListParagraph"/>
        <w:numPr>
          <w:ilvl w:val="0"/>
          <w:numId w:val="2"/>
        </w:numPr>
        <w:spacing w:after="60" w:line="260"/>
      </w:pPr>
      <w:r>
        <w:rPr>
          <w:rFonts w:ascii="Calibri" w:cs="Calibri" w:eastAsia="Calibri" w:hAnsi="Calibri"/>
          <w:sz w:val="20"/>
          <w:szCs w:val="20"/>
        </w:rPr>
        <w:t xml:space="preserve">Risque financier (BFR augmenté, trésorerie mobilisée).</w:t>
      </w:r>
    </w:p>
    <w:p>
      <w:pPr>
        <w:pStyle w:val="ListParagraph"/>
        <w:numPr>
          <w:ilvl w:val="0"/>
          <w:numId w:val="2"/>
        </w:numPr>
        <w:spacing w:after="60" w:line="260"/>
      </w:pPr>
      <w:r>
        <w:rPr>
          <w:rFonts w:ascii="Calibri" w:cs="Calibri" w:eastAsia="Calibri" w:hAnsi="Calibri"/>
          <w:sz w:val="20"/>
          <w:szCs w:val="20"/>
        </w:rPr>
        <w:t xml:space="preserve">Risque sécurité (Pack Sérénité difficile à assurer dans certaines zones).</w:t>
      </w:r>
    </w:p>
    <w:p>
      <w:pPr>
        <w:spacing w:after="100" w:before="220"/>
      </w:pPr>
      <w:r>
        <w:rPr>
          <w:rFonts w:ascii="Calibri" w:cs="Calibri" w:eastAsia="Calibri" w:hAnsi="Calibri"/>
          <w:b/>
          <w:bCs/>
          <w:color w:val="E87722"/>
          <w:sz w:val="22"/>
          <w:szCs w:val="22"/>
        </w:rPr>
        <w:t xml:space="preserve">6.2. Mitigations</w:t>
      </w:r>
    </w:p>
    <w:p>
      <w:pPr>
        <w:pStyle w:val="ListParagraph"/>
        <w:numPr>
          <w:ilvl w:val="0"/>
          <w:numId w:val="2"/>
        </w:numPr>
        <w:spacing w:after="60" w:line="260"/>
      </w:pPr>
      <w:r>
        <w:rPr>
          <w:rFonts w:ascii="Calibri" w:cs="Calibri" w:eastAsia="Calibri" w:hAnsi="Calibri"/>
          <w:sz w:val="20"/>
          <w:szCs w:val="20"/>
        </w:rPr>
        <w:t xml:space="preserve">Consolidation France avant chaque nouvelle phase.</w:t>
      </w:r>
    </w:p>
    <w:p>
      <w:pPr>
        <w:pStyle w:val="ListParagraph"/>
        <w:numPr>
          <w:ilvl w:val="0"/>
          <w:numId w:val="2"/>
        </w:numPr>
        <w:spacing w:after="60" w:line="260"/>
      </w:pPr>
      <w:r>
        <w:rPr>
          <w:rFonts w:ascii="Calibri" w:cs="Calibri" w:eastAsia="Calibri" w:hAnsi="Calibri"/>
          <w:sz w:val="20"/>
          <w:szCs w:val="20"/>
        </w:rPr>
        <w:t xml:space="preserve">Avocat tourisme spécialisé par grand marché (consultation préalable systématique).</w:t>
      </w:r>
    </w:p>
    <w:p>
      <w:pPr>
        <w:pStyle w:val="ListParagraph"/>
        <w:numPr>
          <w:ilvl w:val="0"/>
          <w:numId w:val="2"/>
        </w:numPr>
        <w:spacing w:after="60" w:line="260"/>
      </w:pPr>
      <w:r>
        <w:rPr>
          <w:rFonts w:ascii="Calibri" w:cs="Calibri" w:eastAsia="Calibri" w:hAnsi="Calibri"/>
          <w:sz w:val="20"/>
          <w:szCs w:val="20"/>
        </w:rPr>
        <w:t xml:space="preserve">Recrutement local avec compréhension culturelle.</w:t>
      </w:r>
    </w:p>
    <w:p>
      <w:pPr>
        <w:pStyle w:val="ListParagraph"/>
        <w:numPr>
          <w:ilvl w:val="0"/>
          <w:numId w:val="2"/>
        </w:numPr>
        <w:spacing w:after="60" w:line="260"/>
      </w:pPr>
      <w:r>
        <w:rPr>
          <w:rFonts w:ascii="Calibri" w:cs="Calibri" w:eastAsia="Calibri" w:hAnsi="Calibri"/>
          <w:sz w:val="20"/>
          <w:szCs w:val="20"/>
        </w:rPr>
        <w:t xml:space="preserve">Levées de fonds adaptées aux phases (cohérence Pacte associés Seed et Term Sheet).</w:t>
      </w:r>
    </w:p>
    <w:p>
      <w:pPr>
        <w:pStyle w:val="ListParagraph"/>
        <w:numPr>
          <w:ilvl w:val="0"/>
          <w:numId w:val="2"/>
        </w:numPr>
        <w:spacing w:after="60" w:line="260"/>
      </w:pPr>
      <w:r>
        <w:rPr>
          <w:rFonts w:ascii="Calibri" w:cs="Calibri" w:eastAsia="Calibri" w:hAnsi="Calibri"/>
          <w:sz w:val="20"/>
          <w:szCs w:val="20"/>
        </w:rPr>
        <w:t xml:space="preserve">Refus pré-validé des marchés où le Pack Sérénité ne peut être garanti.</w:t>
      </w:r>
    </w:p>
    <w:p>
      <w:pPr>
        <w:spacing w:after="160" w:before="240"/>
      </w:pPr>
      <w:r>
        <w:rPr>
          <w:rFonts w:ascii="Calibri" w:cs="Calibri" w:eastAsia="Calibri" w:hAnsi="Calibri"/>
          <w:b/>
          <w:bCs/>
          <w:color w:val="1F4E79"/>
          <w:sz w:val="32"/>
          <w:szCs w:val="32"/>
        </w:rPr>
        <w:t xml:space="preserve">7. Engagements éthiques d'expansion</w:t>
      </w:r>
    </w:p>
    <w:p>
      <w:pPr>
        <w:pStyle w:val="ListParagraph"/>
        <w:numPr>
          <w:ilvl w:val="0"/>
          <w:numId w:val="2"/>
        </w:numPr>
        <w:spacing w:after="60" w:line="260"/>
      </w:pPr>
      <w:r>
        <w:rPr>
          <w:rFonts w:ascii="Calibri" w:cs="Calibri" w:eastAsia="Calibri" w:hAnsi="Calibri"/>
          <w:sz w:val="20"/>
          <w:szCs w:val="20"/>
        </w:rPr>
        <w:t xml:space="preserve">Refus de l'expansion à tout prix — la rentabilité durable prime.</w:t>
      </w:r>
    </w:p>
    <w:p>
      <w:pPr>
        <w:pStyle w:val="ListParagraph"/>
        <w:numPr>
          <w:ilvl w:val="0"/>
          <w:numId w:val="2"/>
        </w:numPr>
        <w:spacing w:after="60" w:line="260"/>
      </w:pPr>
      <w:r>
        <w:rPr>
          <w:rFonts w:ascii="Calibri" w:cs="Calibri" w:eastAsia="Calibri" w:hAnsi="Calibri"/>
          <w:sz w:val="20"/>
          <w:szCs w:val="20"/>
        </w:rPr>
        <w:t xml:space="preserve">Refus des marchés autoritaires ou en non-respect des droits humains.</w:t>
      </w:r>
    </w:p>
    <w:p>
      <w:pPr>
        <w:pStyle w:val="ListParagraph"/>
        <w:numPr>
          <w:ilvl w:val="0"/>
          <w:numId w:val="2"/>
        </w:numPr>
        <w:spacing w:after="60" w:line="260"/>
      </w:pPr>
      <w:r>
        <w:rPr>
          <w:rFonts w:ascii="Calibri" w:cs="Calibri" w:eastAsia="Calibri" w:hAnsi="Calibri"/>
          <w:sz w:val="20"/>
          <w:szCs w:val="20"/>
        </w:rPr>
        <w:t xml:space="preserve">Refus du dumping social ou fiscal entre filiales.</w:t>
      </w:r>
    </w:p>
    <w:p>
      <w:pPr>
        <w:pStyle w:val="ListParagraph"/>
        <w:numPr>
          <w:ilvl w:val="0"/>
          <w:numId w:val="2"/>
        </w:numPr>
        <w:spacing w:after="60" w:line="260"/>
      </w:pPr>
      <w:r>
        <w:rPr>
          <w:rFonts w:ascii="Calibri" w:cs="Calibri" w:eastAsia="Calibri" w:hAnsi="Calibri"/>
          <w:sz w:val="20"/>
          <w:szCs w:val="20"/>
        </w:rPr>
        <w:t xml:space="preserve">Refus des pratiques de néo-colonialisme touristique (extraction sans réinvestissement local).</w:t>
      </w:r>
    </w:p>
    <w:p>
      <w:pPr>
        <w:pStyle w:val="ListParagraph"/>
        <w:numPr>
          <w:ilvl w:val="0"/>
          <w:numId w:val="2"/>
        </w:numPr>
        <w:spacing w:after="60" w:line="260"/>
      </w:pPr>
      <w:r>
        <w:rPr>
          <w:rFonts w:ascii="Calibri" w:cs="Calibri" w:eastAsia="Calibri" w:hAnsi="Calibri"/>
          <w:sz w:val="20"/>
          <w:szCs w:val="20"/>
        </w:rPr>
        <w:t xml:space="preserve">Engagement à recruter localement et à payer juste.</w:t>
      </w:r>
    </w:p>
    <w:p>
      <w:pPr>
        <w:pStyle w:val="ListParagraph"/>
        <w:numPr>
          <w:ilvl w:val="0"/>
          <w:numId w:val="2"/>
        </w:numPr>
        <w:spacing w:after="60" w:line="260"/>
      </w:pPr>
      <w:r>
        <w:rPr>
          <w:rFonts w:ascii="Calibri" w:cs="Calibri" w:eastAsia="Calibri" w:hAnsi="Calibri"/>
          <w:sz w:val="20"/>
          <w:szCs w:val="20"/>
        </w:rPr>
        <w:t xml:space="preserve">Engagement à respecter les législations locales (sans optimisation agressive).</w:t>
      </w:r>
    </w:p>
    <w:p>
      <w:pPr>
        <w:spacing w:after="160" w:before="240"/>
      </w:pPr>
      <w:r>
        <w:rPr>
          <w:rFonts w:ascii="Calibri" w:cs="Calibri" w:eastAsia="Calibri" w:hAnsi="Calibri"/>
          <w:b/>
          <w:bCs/>
          <w:color w:val="1F4E79"/>
          <w:sz w:val="32"/>
          <w:szCs w:val="32"/>
        </w:rPr>
        <w:t xml:space="preserve">8. Suivi et gouvernance</w:t>
      </w:r>
    </w:p>
    <w:p>
      <w:pPr>
        <w:pStyle w:val="ListParagraph"/>
        <w:numPr>
          <w:ilvl w:val="0"/>
          <w:numId w:val="2"/>
        </w:numPr>
        <w:spacing w:after="60" w:line="260"/>
      </w:pPr>
      <w:r>
        <w:rPr>
          <w:rFonts w:ascii="Calibri" w:cs="Calibri" w:eastAsia="Calibri" w:hAnsi="Calibri"/>
          <w:sz w:val="20"/>
          <w:szCs w:val="20"/>
        </w:rPr>
        <w:t xml:space="preserve">Comité d'expansion trimestriel (Président + investisseurs principaux + 1 expert externe).</w:t>
      </w:r>
    </w:p>
    <w:p>
      <w:pPr>
        <w:pStyle w:val="ListParagraph"/>
        <w:numPr>
          <w:ilvl w:val="0"/>
          <w:numId w:val="2"/>
        </w:numPr>
        <w:spacing w:after="60" w:line="260"/>
      </w:pPr>
      <w:r>
        <w:rPr>
          <w:rFonts w:ascii="Calibri" w:cs="Calibri" w:eastAsia="Calibri" w:hAnsi="Calibri"/>
          <w:sz w:val="20"/>
          <w:szCs w:val="20"/>
        </w:rPr>
        <w:t xml:space="preserve">Revue annuelle du plan.</w:t>
      </w:r>
    </w:p>
    <w:p>
      <w:pPr>
        <w:pStyle w:val="ListParagraph"/>
        <w:numPr>
          <w:ilvl w:val="0"/>
          <w:numId w:val="2"/>
        </w:numPr>
        <w:spacing w:after="60" w:line="260"/>
      </w:pPr>
      <w:r>
        <w:rPr>
          <w:rFonts w:ascii="Calibri" w:cs="Calibri" w:eastAsia="Calibri" w:hAnsi="Calibri"/>
          <w:sz w:val="20"/>
          <w:szCs w:val="20"/>
        </w:rPr>
        <w:t xml:space="preserve">Décisions GO/NOGO formelles à chaque nouvelle phase.</w:t>
      </w:r>
    </w:p>
    <w:p>
      <w:pPr>
        <w:pStyle w:val="ListParagraph"/>
        <w:numPr>
          <w:ilvl w:val="0"/>
          <w:numId w:val="2"/>
        </w:numPr>
        <w:spacing w:after="60" w:line="260"/>
      </w:pPr>
      <w:r>
        <w:rPr>
          <w:rFonts w:ascii="Calibri" w:cs="Calibri" w:eastAsia="Calibri" w:hAnsi="Calibri"/>
          <w:sz w:val="20"/>
          <w:szCs w:val="20"/>
        </w:rPr>
        <w:t xml:space="preserve">Reporting mensuel par marché actif.</w:t>
      </w:r>
    </w:p>
    <w:p>
      <w:pPr>
        <w:pStyle w:val="ListParagraph"/>
        <w:numPr>
          <w:ilvl w:val="0"/>
          <w:numId w:val="2"/>
        </w:numPr>
        <w:spacing w:after="60" w:line="260"/>
      </w:pPr>
      <w:r>
        <w:rPr>
          <w:rFonts w:ascii="Calibri" w:cs="Calibri" w:eastAsia="Calibri" w:hAnsi="Calibri"/>
          <w:sz w:val="20"/>
          <w:szCs w:val="20"/>
        </w:rPr>
        <w:t xml:space="preserve">Cohérence avec Pacte associés Seed (décisions de gouvernance soumises à droit de veto).</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interne et investisseur — Version 1.0 — 2 mai 2026. Mise à jour annuelle.</w:t>
      </w:r>
    </w:p>
    <w:p>
      <w:pPr>
        <w:spacing w:after="100" w:line="280"/>
        <w:jc w:val="both"/>
      </w:pPr>
      <w:r>
        <w:rPr>
          <w:rFonts w:ascii="Calibri" w:cs="Calibri" w:eastAsia="Calibri" w:hAnsi="Calibri"/>
          <w:i/>
          <w:iCs/>
          <w:color w:val="555555"/>
          <w:sz w:val="18"/>
          <w:szCs w:val="18"/>
        </w:rPr>
        <w:t xml:space="preserve">Cohérence avec : Dossier investisseur, Roadmap technique, Pacte associés Seed, Term Sheet Seed, Politique RSE, Note expert-comptable, Politique anti-corruption.</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Plan expansion internationale</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Plan d'expansion internationale</dc:title>
  <dc:creator>David Eventy — Eventy Life SAS</dc:creator>
  <dc:description>Stratégie pluriannuelle d'expansion Europe et international.</dc:description>
  <cp:lastModifiedBy>Un-named</cp:lastModifiedBy>
  <cp:revision>1</cp:revision>
  <dcterms:created xsi:type="dcterms:W3CDTF">2026-05-02T02:22:53.480Z</dcterms:created>
  <dcterms:modified xsi:type="dcterms:W3CDTF">2026-05-02T02:22:53.481Z</dcterms:modified>
</cp:coreProperties>
</file>

<file path=docProps/custom.xml><?xml version="1.0" encoding="utf-8"?>
<Properties xmlns="http://schemas.openxmlformats.org/officeDocument/2006/custom-properties" xmlns:vt="http://schemas.openxmlformats.org/officeDocument/2006/docPropsVTypes"/>
</file>