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PLAN DE FORMATION INTERNE ÉQUIPE EVENTY</w:t>
            </w:r>
          </w:p>
          <w:p>
            <w:pPr>
              <w:spacing w:after="0"/>
              <w:jc w:val="center"/>
            </w:pPr>
            <w:r>
              <w:rPr>
                <w:rFonts w:ascii="Calibri" w:cs="Calibri" w:eastAsia="Calibri" w:hAnsi="Calibri"/>
                <w:i/>
                <w:iCs/>
                <w:color w:val="1F4E79"/>
                <w:sz w:val="18"/>
                <w:szCs w:val="18"/>
              </w:rPr>
              <w:t xml:space="preserve">Référentiel formation continue des collaborateurs salariés</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Le présent plan formalise la stratégie de formation continue d'EVENTY LIFE SAS pour ses collaborateurs salariés. Il complète et se distingue du Plan de formation accompagnateur (qui couvre les accompagnateurs partenaires) en se concentrant sur l'équipe interne. Il s'inscrit dans la cohérence avec la Charte télétravail, la Procédure de recrutement et le Modèle d'entretien annuel.</w:t>
      </w:r>
    </w:p>
    <w:p>
      <w:pPr>
        <w:spacing w:after="100" w:line="280"/>
        <w:jc w:val="both"/>
      </w:pPr>
      <w:r>
        <w:rPr>
          <w:rFonts w:ascii="Calibri" w:cs="Calibri" w:eastAsia="Calibri" w:hAnsi="Calibri"/>
          <w:i/>
          <w:iCs/>
          <w:color w:val="1A1A1A"/>
          <w:sz w:val="20"/>
          <w:szCs w:val="20"/>
        </w:rPr>
        <w:t xml:space="preserve">Eventy investit dans le développement de chaque collaborateur. Le budget formation est minimum 2 % de la masse salariale en An 1 (vs 1 % obligation légale), avec cible 5 % en An 3. La formation est un droit, pas une faveur. Chaque collaborateur dispose d'un parcours individualisé.</w:t>
      </w:r>
    </w:p>
    <w:p>
      <w:pPr>
        <w:spacing w:after="160" w:before="240"/>
      </w:pPr>
      <w:r>
        <w:rPr>
          <w:rFonts w:ascii="Calibri" w:cs="Calibri" w:eastAsia="Calibri" w:hAnsi="Calibri"/>
          <w:b/>
          <w:bCs/>
          <w:color w:val="1F4E79"/>
          <w:sz w:val="32"/>
          <w:szCs w:val="32"/>
        </w:rPr>
        <w:t xml:space="preserve">1. Cadre de référence</w:t>
      </w:r>
    </w:p>
    <w:p>
      <w:pPr>
        <w:pStyle w:val="ListParagraph"/>
        <w:numPr>
          <w:ilvl w:val="0"/>
          <w:numId w:val="2"/>
        </w:numPr>
        <w:spacing w:after="60" w:line="260"/>
      </w:pPr>
      <w:r>
        <w:rPr>
          <w:rFonts w:ascii="Calibri" w:cs="Calibri" w:eastAsia="Calibri" w:hAnsi="Calibri"/>
          <w:sz w:val="20"/>
          <w:szCs w:val="20"/>
        </w:rPr>
        <w:t xml:space="preserve">Articles L6321-1 à L6321-12 du Code du travail — obligation de formation employeur.</w:t>
      </w:r>
    </w:p>
    <w:p>
      <w:pPr>
        <w:pStyle w:val="ListParagraph"/>
        <w:numPr>
          <w:ilvl w:val="0"/>
          <w:numId w:val="2"/>
        </w:numPr>
        <w:spacing w:after="60" w:line="260"/>
      </w:pPr>
      <w:r>
        <w:rPr>
          <w:rFonts w:ascii="Calibri" w:cs="Calibri" w:eastAsia="Calibri" w:hAnsi="Calibri"/>
          <w:sz w:val="20"/>
          <w:szCs w:val="20"/>
        </w:rPr>
        <w:t xml:space="preserve">Article L6315-1 — entretien professionnel obligatoire tous les 2 ans.</w:t>
      </w:r>
    </w:p>
    <w:p>
      <w:pPr>
        <w:pStyle w:val="ListParagraph"/>
        <w:numPr>
          <w:ilvl w:val="0"/>
          <w:numId w:val="2"/>
        </w:numPr>
        <w:spacing w:after="60" w:line="260"/>
      </w:pPr>
      <w:r>
        <w:rPr>
          <w:rFonts w:ascii="Calibri" w:cs="Calibri" w:eastAsia="Calibri" w:hAnsi="Calibri"/>
          <w:sz w:val="20"/>
          <w:szCs w:val="20"/>
        </w:rPr>
        <w:t xml:space="preserve">Compte Personnel de Formation (CPF) — droit individuel.</w:t>
      </w:r>
    </w:p>
    <w:p>
      <w:pPr>
        <w:pStyle w:val="ListParagraph"/>
        <w:numPr>
          <w:ilvl w:val="0"/>
          <w:numId w:val="2"/>
        </w:numPr>
        <w:spacing w:after="60" w:line="260"/>
      </w:pPr>
      <w:r>
        <w:rPr>
          <w:rFonts w:ascii="Calibri" w:cs="Calibri" w:eastAsia="Calibri" w:hAnsi="Calibri"/>
          <w:sz w:val="20"/>
          <w:szCs w:val="20"/>
        </w:rPr>
        <w:t xml:space="preserve">Formation Professionnelle Continue (FPC).</w:t>
      </w:r>
    </w:p>
    <w:p>
      <w:pPr>
        <w:pStyle w:val="ListParagraph"/>
        <w:numPr>
          <w:ilvl w:val="0"/>
          <w:numId w:val="2"/>
        </w:numPr>
        <w:spacing w:after="60" w:line="260"/>
      </w:pPr>
      <w:r>
        <w:rPr>
          <w:rFonts w:ascii="Calibri" w:cs="Calibri" w:eastAsia="Calibri" w:hAnsi="Calibri"/>
          <w:sz w:val="20"/>
          <w:szCs w:val="20"/>
        </w:rPr>
        <w:t xml:space="preserve">Charte télétravail Eventy (cohérence).</w:t>
      </w:r>
    </w:p>
    <w:p>
      <w:pPr>
        <w:pStyle w:val="ListParagraph"/>
        <w:numPr>
          <w:ilvl w:val="0"/>
          <w:numId w:val="2"/>
        </w:numPr>
        <w:spacing w:after="60" w:line="260"/>
      </w:pPr>
      <w:r>
        <w:rPr>
          <w:rFonts w:ascii="Calibri" w:cs="Calibri" w:eastAsia="Calibri" w:hAnsi="Calibri"/>
          <w:sz w:val="20"/>
          <w:szCs w:val="20"/>
        </w:rPr>
        <w:t xml:space="preserve">Modèle d'entretien annuel Eventy (cohérence).</w:t>
      </w:r>
    </w:p>
    <w:p>
      <w:pPr>
        <w:spacing w:after="160" w:before="240"/>
      </w:pPr>
      <w:r>
        <w:rPr>
          <w:rFonts w:ascii="Calibri" w:cs="Calibri" w:eastAsia="Calibri" w:hAnsi="Calibri"/>
          <w:b/>
          <w:bCs/>
          <w:color w:val="1F4E79"/>
          <w:sz w:val="32"/>
          <w:szCs w:val="32"/>
        </w:rPr>
        <w:t xml:space="preserve">2. Engagements Eventy</w:t>
      </w:r>
    </w:p>
    <w:p>
      <w:pPr>
        <w:spacing w:after="100" w:before="220"/>
      </w:pPr>
      <w:r>
        <w:rPr>
          <w:rFonts w:ascii="Calibri" w:cs="Calibri" w:eastAsia="Calibri" w:hAnsi="Calibri"/>
          <w:b/>
          <w:bCs/>
          <w:color w:val="E87722"/>
          <w:sz w:val="22"/>
          <w:szCs w:val="22"/>
        </w:rPr>
        <w:t xml:space="preserve">2.1. Budget formation</w:t>
      </w:r>
    </w:p>
    <w:p>
      <w:pPr>
        <w:pStyle w:val="ListParagraph"/>
        <w:numPr>
          <w:ilvl w:val="0"/>
          <w:numId w:val="2"/>
        </w:numPr>
        <w:spacing w:after="60" w:line="260"/>
      </w:pPr>
      <w:r>
        <w:rPr>
          <w:rFonts w:ascii="Calibri" w:cs="Calibri" w:eastAsia="Calibri" w:hAnsi="Calibri"/>
          <w:sz w:val="20"/>
          <w:szCs w:val="20"/>
        </w:rPr>
        <w:t xml:space="preserve">An 1 : ≥ 2 % de la masse salariale brute.</w:t>
      </w:r>
    </w:p>
    <w:p>
      <w:pPr>
        <w:pStyle w:val="ListParagraph"/>
        <w:numPr>
          <w:ilvl w:val="0"/>
          <w:numId w:val="2"/>
        </w:numPr>
        <w:spacing w:after="60" w:line="260"/>
      </w:pPr>
      <w:r>
        <w:rPr>
          <w:rFonts w:ascii="Calibri" w:cs="Calibri" w:eastAsia="Calibri" w:hAnsi="Calibri"/>
          <w:sz w:val="20"/>
          <w:szCs w:val="20"/>
        </w:rPr>
        <w:t xml:space="preserve">An 3 : ≥ 5 % de la masse salariale brute.</w:t>
      </w:r>
    </w:p>
    <w:p>
      <w:pPr>
        <w:pStyle w:val="ListParagraph"/>
        <w:numPr>
          <w:ilvl w:val="0"/>
          <w:numId w:val="2"/>
        </w:numPr>
        <w:spacing w:after="60" w:line="260"/>
      </w:pPr>
      <w:r>
        <w:rPr>
          <w:rFonts w:ascii="Calibri" w:cs="Calibri" w:eastAsia="Calibri" w:hAnsi="Calibri"/>
          <w:sz w:val="20"/>
          <w:szCs w:val="20"/>
        </w:rPr>
        <w:t xml:space="preserve">Au-delà du minimum légal (1 % pour entreprises &lt; 11 salariés).</w:t>
      </w:r>
    </w:p>
    <w:p>
      <w:pPr>
        <w:pStyle w:val="ListParagraph"/>
        <w:numPr>
          <w:ilvl w:val="0"/>
          <w:numId w:val="2"/>
        </w:numPr>
        <w:spacing w:after="60" w:line="260"/>
      </w:pPr>
      <w:r>
        <w:rPr>
          <w:rFonts w:ascii="Calibri" w:cs="Calibri" w:eastAsia="Calibri" w:hAnsi="Calibri"/>
          <w:sz w:val="20"/>
          <w:szCs w:val="20"/>
        </w:rPr>
        <w:t xml:space="preserve">Toute formation métier (tourisme, juridique, technique) prise en charge à 100 %.</w:t>
      </w:r>
    </w:p>
    <w:p>
      <w:pPr>
        <w:spacing w:after="100" w:before="220"/>
      </w:pPr>
      <w:r>
        <w:rPr>
          <w:rFonts w:ascii="Calibri" w:cs="Calibri" w:eastAsia="Calibri" w:hAnsi="Calibri"/>
          <w:b/>
          <w:bCs/>
          <w:color w:val="E87722"/>
          <w:sz w:val="22"/>
          <w:szCs w:val="22"/>
        </w:rPr>
        <w:t xml:space="preserve">2.2. Engagement temps</w:t>
      </w:r>
    </w:p>
    <w:p>
      <w:pPr>
        <w:pStyle w:val="ListParagraph"/>
        <w:numPr>
          <w:ilvl w:val="0"/>
          <w:numId w:val="2"/>
        </w:numPr>
        <w:spacing w:after="60" w:line="260"/>
      </w:pPr>
      <w:r>
        <w:rPr>
          <w:rFonts w:ascii="Calibri" w:cs="Calibri" w:eastAsia="Calibri" w:hAnsi="Calibri"/>
          <w:sz w:val="20"/>
          <w:szCs w:val="20"/>
        </w:rPr>
        <w:t xml:space="preserve">Au moins 21 heures de formation par an et par collaborateur (équivalent 3 j).</w:t>
      </w:r>
    </w:p>
    <w:p>
      <w:pPr>
        <w:pStyle w:val="ListParagraph"/>
        <w:numPr>
          <w:ilvl w:val="0"/>
          <w:numId w:val="2"/>
        </w:numPr>
        <w:spacing w:after="60" w:line="260"/>
      </w:pPr>
      <w:r>
        <w:rPr>
          <w:rFonts w:ascii="Calibri" w:cs="Calibri" w:eastAsia="Calibri" w:hAnsi="Calibri"/>
          <w:sz w:val="20"/>
          <w:szCs w:val="20"/>
        </w:rPr>
        <w:t xml:space="preserve">Formation sur le temps de travail (pas hors heures).</w:t>
      </w:r>
    </w:p>
    <w:p>
      <w:pPr>
        <w:pStyle w:val="ListParagraph"/>
        <w:numPr>
          <w:ilvl w:val="0"/>
          <w:numId w:val="2"/>
        </w:numPr>
        <w:spacing w:after="60" w:line="260"/>
      </w:pPr>
      <w:r>
        <w:rPr>
          <w:rFonts w:ascii="Calibri" w:cs="Calibri" w:eastAsia="Calibri" w:hAnsi="Calibri"/>
          <w:sz w:val="20"/>
          <w:szCs w:val="20"/>
        </w:rPr>
        <w:t xml:space="preserve">Cible An 3 : 35 heures par an et par collaborateur.</w:t>
      </w:r>
    </w:p>
    <w:p>
      <w:pPr>
        <w:spacing w:after="100" w:before="220"/>
      </w:pPr>
      <w:r>
        <w:rPr>
          <w:rFonts w:ascii="Calibri" w:cs="Calibri" w:eastAsia="Calibri" w:hAnsi="Calibri"/>
          <w:b/>
          <w:bCs/>
          <w:color w:val="E87722"/>
          <w:sz w:val="22"/>
          <w:szCs w:val="22"/>
        </w:rPr>
        <w:t xml:space="preserve">2.3. Engagement qualité</w:t>
      </w:r>
    </w:p>
    <w:p>
      <w:pPr>
        <w:pStyle w:val="ListParagraph"/>
        <w:numPr>
          <w:ilvl w:val="0"/>
          <w:numId w:val="2"/>
        </w:numPr>
        <w:spacing w:after="60" w:line="260"/>
      </w:pPr>
      <w:r>
        <w:rPr>
          <w:rFonts w:ascii="Calibri" w:cs="Calibri" w:eastAsia="Calibri" w:hAnsi="Calibri"/>
          <w:sz w:val="20"/>
          <w:szCs w:val="20"/>
        </w:rPr>
        <w:t xml:space="preserve">Choix de formations agréées et reconnues.</w:t>
      </w:r>
    </w:p>
    <w:p>
      <w:pPr>
        <w:pStyle w:val="ListParagraph"/>
        <w:numPr>
          <w:ilvl w:val="0"/>
          <w:numId w:val="2"/>
        </w:numPr>
        <w:spacing w:after="60" w:line="260"/>
      </w:pPr>
      <w:r>
        <w:rPr>
          <w:rFonts w:ascii="Calibri" w:cs="Calibri" w:eastAsia="Calibri" w:hAnsi="Calibri"/>
          <w:sz w:val="20"/>
          <w:szCs w:val="20"/>
        </w:rPr>
        <w:t xml:space="preserve">Évaluation post-formation (utilité ressentie, mise en pratique).</w:t>
      </w:r>
    </w:p>
    <w:p>
      <w:pPr>
        <w:pStyle w:val="ListParagraph"/>
        <w:numPr>
          <w:ilvl w:val="0"/>
          <w:numId w:val="2"/>
        </w:numPr>
        <w:spacing w:after="60" w:line="260"/>
      </w:pPr>
      <w:r>
        <w:rPr>
          <w:rFonts w:ascii="Calibri" w:cs="Calibri" w:eastAsia="Calibri" w:hAnsi="Calibri"/>
          <w:sz w:val="20"/>
          <w:szCs w:val="20"/>
        </w:rPr>
        <w:t xml:space="preserve">Refus des formations « bidons » sans valeur ajoutée.</w:t>
      </w:r>
    </w:p>
    <w:p>
      <w:pPr>
        <w:spacing w:after="160" w:before="240"/>
      </w:pPr>
      <w:r>
        <w:rPr>
          <w:rFonts w:ascii="Calibri" w:cs="Calibri" w:eastAsia="Calibri" w:hAnsi="Calibri"/>
          <w:b/>
          <w:bCs/>
          <w:color w:val="1F4E79"/>
          <w:sz w:val="32"/>
          <w:szCs w:val="32"/>
        </w:rPr>
        <w:t xml:space="preserve">3. Catégories de formation</w:t>
      </w:r>
    </w:p>
    <w:p>
      <w:pPr>
        <w:spacing w:after="100" w:before="220"/>
      </w:pPr>
      <w:r>
        <w:rPr>
          <w:rFonts w:ascii="Calibri" w:cs="Calibri" w:eastAsia="Calibri" w:hAnsi="Calibri"/>
          <w:b/>
          <w:bCs/>
          <w:color w:val="E87722"/>
          <w:sz w:val="22"/>
          <w:szCs w:val="22"/>
        </w:rPr>
        <w:t xml:space="preserve">3.1. Formations obligatoires (réglementaires)</w:t>
      </w:r>
    </w:p>
    <w:p>
      <w:pPr>
        <w:pStyle w:val="ListParagraph"/>
        <w:numPr>
          <w:ilvl w:val="0"/>
          <w:numId w:val="2"/>
        </w:numPr>
        <w:spacing w:after="60" w:line="260"/>
      </w:pPr>
      <w:r>
        <w:rPr>
          <w:rFonts w:ascii="Calibri" w:cs="Calibri" w:eastAsia="Calibri" w:hAnsi="Calibri"/>
          <w:sz w:val="20"/>
          <w:szCs w:val="20"/>
        </w:rPr>
        <w:t xml:space="preserve">Sécurité au travail (formation initiale + recyclage).</w:t>
      </w:r>
    </w:p>
    <w:p>
      <w:pPr>
        <w:pStyle w:val="ListParagraph"/>
        <w:numPr>
          <w:ilvl w:val="0"/>
          <w:numId w:val="2"/>
        </w:numPr>
        <w:spacing w:after="60" w:line="260"/>
      </w:pPr>
      <w:r>
        <w:rPr>
          <w:rFonts w:ascii="Calibri" w:cs="Calibri" w:eastAsia="Calibri" w:hAnsi="Calibri"/>
          <w:sz w:val="20"/>
          <w:szCs w:val="20"/>
        </w:rPr>
        <w:t xml:space="preserve">Sensibilisation RGPD (annuelle, 1 h, cohérence Politique RGPD).</w:t>
      </w:r>
    </w:p>
    <w:p>
      <w:pPr>
        <w:pStyle w:val="ListParagraph"/>
        <w:numPr>
          <w:ilvl w:val="0"/>
          <w:numId w:val="2"/>
        </w:numPr>
        <w:spacing w:after="60" w:line="260"/>
      </w:pPr>
      <w:r>
        <w:rPr>
          <w:rFonts w:ascii="Calibri" w:cs="Calibri" w:eastAsia="Calibri" w:hAnsi="Calibri"/>
          <w:sz w:val="20"/>
          <w:szCs w:val="20"/>
        </w:rPr>
        <w:t xml:space="preserve">Sensibilisation cybersécurité (annuelle, 1 h, cohérence Politique cybersécurité).</w:t>
      </w:r>
    </w:p>
    <w:p>
      <w:pPr>
        <w:pStyle w:val="ListParagraph"/>
        <w:numPr>
          <w:ilvl w:val="0"/>
          <w:numId w:val="2"/>
        </w:numPr>
        <w:spacing w:after="60" w:line="260"/>
      </w:pPr>
      <w:r>
        <w:rPr>
          <w:rFonts w:ascii="Calibri" w:cs="Calibri" w:eastAsia="Calibri" w:hAnsi="Calibri"/>
          <w:sz w:val="20"/>
          <w:szCs w:val="20"/>
        </w:rPr>
        <w:t xml:space="preserve">Sensibilisation conflits d'intérêts (annuelle, 30 min, cohérence Politique conflits d'intérêts).</w:t>
      </w:r>
    </w:p>
    <w:p>
      <w:pPr>
        <w:pStyle w:val="ListParagraph"/>
        <w:numPr>
          <w:ilvl w:val="0"/>
          <w:numId w:val="2"/>
        </w:numPr>
        <w:spacing w:after="60" w:line="260"/>
      </w:pPr>
      <w:r>
        <w:rPr>
          <w:rFonts w:ascii="Calibri" w:cs="Calibri" w:eastAsia="Calibri" w:hAnsi="Calibri"/>
          <w:sz w:val="20"/>
          <w:szCs w:val="20"/>
        </w:rPr>
        <w:t xml:space="preserve">Sensibilisation anti-corruption (annuelle, 30 min, cohérence Politique anti-corruption).</w:t>
      </w:r>
    </w:p>
    <w:p>
      <w:pPr>
        <w:pStyle w:val="ListParagraph"/>
        <w:numPr>
          <w:ilvl w:val="0"/>
          <w:numId w:val="2"/>
        </w:numPr>
        <w:spacing w:after="60" w:line="260"/>
      </w:pPr>
      <w:r>
        <w:rPr>
          <w:rFonts w:ascii="Calibri" w:cs="Calibri" w:eastAsia="Calibri" w:hAnsi="Calibri"/>
          <w:sz w:val="20"/>
          <w:szCs w:val="20"/>
        </w:rPr>
        <w:t xml:space="preserve">Sensibilisation accessibilité (annuelle, 30 min, cohérence Politique accessibilité PMR).</w:t>
      </w:r>
    </w:p>
    <w:p>
      <w:pPr>
        <w:spacing w:after="100" w:before="220"/>
      </w:pPr>
      <w:r>
        <w:rPr>
          <w:rFonts w:ascii="Calibri" w:cs="Calibri" w:eastAsia="Calibri" w:hAnsi="Calibri"/>
          <w:b/>
          <w:bCs/>
          <w:color w:val="E87722"/>
          <w:sz w:val="22"/>
          <w:szCs w:val="22"/>
        </w:rPr>
        <w:t xml:space="preserve">3.2. Formations métier (tourisme)</w:t>
      </w:r>
    </w:p>
    <w:p>
      <w:pPr>
        <w:pStyle w:val="ListParagraph"/>
        <w:numPr>
          <w:ilvl w:val="0"/>
          <w:numId w:val="2"/>
        </w:numPr>
        <w:spacing w:after="60" w:line="260"/>
      </w:pPr>
      <w:r>
        <w:rPr>
          <w:rFonts w:ascii="Calibri" w:cs="Calibri" w:eastAsia="Calibri" w:hAnsi="Calibri"/>
          <w:sz w:val="20"/>
          <w:szCs w:val="20"/>
        </w:rPr>
        <w:t xml:space="preserve">Code du tourisme et obligations opérateur.</w:t>
      </w:r>
    </w:p>
    <w:p>
      <w:pPr>
        <w:pStyle w:val="ListParagraph"/>
        <w:numPr>
          <w:ilvl w:val="0"/>
          <w:numId w:val="2"/>
        </w:numPr>
        <w:spacing w:after="60" w:line="260"/>
      </w:pPr>
      <w:r>
        <w:rPr>
          <w:rFonts w:ascii="Calibri" w:cs="Calibri" w:eastAsia="Calibri" w:hAnsi="Calibri"/>
          <w:sz w:val="20"/>
          <w:szCs w:val="20"/>
        </w:rPr>
        <w:t xml:space="preserve">Directive UE 2015/2302 (forfaits touristiques).</w:t>
      </w:r>
    </w:p>
    <w:p>
      <w:pPr>
        <w:pStyle w:val="ListParagraph"/>
        <w:numPr>
          <w:ilvl w:val="0"/>
          <w:numId w:val="2"/>
        </w:numPr>
        <w:spacing w:after="60" w:line="260"/>
      </w:pPr>
      <w:r>
        <w:rPr>
          <w:rFonts w:ascii="Calibri" w:cs="Calibri" w:eastAsia="Calibri" w:hAnsi="Calibri"/>
          <w:sz w:val="20"/>
          <w:szCs w:val="20"/>
        </w:rPr>
        <w:t xml:space="preserve">TVA marge tourisme (cohérence Guide TVA marge tourisme).</w:t>
      </w:r>
    </w:p>
    <w:p>
      <w:pPr>
        <w:pStyle w:val="ListParagraph"/>
        <w:numPr>
          <w:ilvl w:val="0"/>
          <w:numId w:val="2"/>
        </w:numPr>
        <w:spacing w:after="60" w:line="260"/>
      </w:pPr>
      <w:r>
        <w:rPr>
          <w:rFonts w:ascii="Calibri" w:cs="Calibri" w:eastAsia="Calibri" w:hAnsi="Calibri"/>
          <w:sz w:val="20"/>
          <w:szCs w:val="20"/>
        </w:rPr>
        <w:t xml:space="preserve">Audit qualité HRA (cohérence Procédure d'audit qualité HRA).</w:t>
      </w:r>
    </w:p>
    <w:p>
      <w:pPr>
        <w:pStyle w:val="ListParagraph"/>
        <w:numPr>
          <w:ilvl w:val="0"/>
          <w:numId w:val="2"/>
        </w:numPr>
        <w:spacing w:after="60" w:line="260"/>
      </w:pPr>
      <w:r>
        <w:rPr>
          <w:rFonts w:ascii="Calibri" w:cs="Calibri" w:eastAsia="Calibri" w:hAnsi="Calibri"/>
          <w:sz w:val="20"/>
          <w:szCs w:val="20"/>
        </w:rPr>
        <w:t xml:space="preserve">Manuel d'incident voyage (cohérence document dédié).</w:t>
      </w:r>
    </w:p>
    <w:p>
      <w:pPr>
        <w:pStyle w:val="ListParagraph"/>
        <w:numPr>
          <w:ilvl w:val="0"/>
          <w:numId w:val="2"/>
        </w:numPr>
        <w:spacing w:after="60" w:line="260"/>
      </w:pPr>
      <w:r>
        <w:rPr>
          <w:rFonts w:ascii="Calibri" w:cs="Calibri" w:eastAsia="Calibri" w:hAnsi="Calibri"/>
          <w:sz w:val="20"/>
          <w:szCs w:val="20"/>
        </w:rPr>
        <w:t xml:space="preserve">Formations institutionnelles (Atout France, APST, ETOA selon).</w:t>
      </w:r>
    </w:p>
    <w:p>
      <w:pPr>
        <w:spacing w:after="100" w:before="220"/>
      </w:pPr>
      <w:r>
        <w:rPr>
          <w:rFonts w:ascii="Calibri" w:cs="Calibri" w:eastAsia="Calibri" w:hAnsi="Calibri"/>
          <w:b/>
          <w:bCs/>
          <w:color w:val="E87722"/>
          <w:sz w:val="22"/>
          <w:szCs w:val="22"/>
        </w:rPr>
        <w:t xml:space="preserve">3.3. Formations techniques</w:t>
      </w:r>
    </w:p>
    <w:p>
      <w:pPr>
        <w:pStyle w:val="ListParagraph"/>
        <w:numPr>
          <w:ilvl w:val="0"/>
          <w:numId w:val="2"/>
        </w:numPr>
        <w:spacing w:after="60" w:line="260"/>
      </w:pPr>
      <w:r>
        <w:rPr>
          <w:rFonts w:ascii="Calibri" w:cs="Calibri" w:eastAsia="Calibri" w:hAnsi="Calibri"/>
          <w:sz w:val="20"/>
          <w:szCs w:val="20"/>
        </w:rPr>
        <w:t xml:space="preserve">Stack technique Next.js / NestJS (équipe dev).</w:t>
      </w:r>
    </w:p>
    <w:p>
      <w:pPr>
        <w:pStyle w:val="ListParagraph"/>
        <w:numPr>
          <w:ilvl w:val="0"/>
          <w:numId w:val="2"/>
        </w:numPr>
        <w:spacing w:after="60" w:line="260"/>
      </w:pPr>
      <w:r>
        <w:rPr>
          <w:rFonts w:ascii="Calibri" w:cs="Calibri" w:eastAsia="Calibri" w:hAnsi="Calibri"/>
          <w:sz w:val="20"/>
          <w:szCs w:val="20"/>
        </w:rPr>
        <w:t xml:space="preserve">Cybersécurité avancée (référent sécurité).</w:t>
      </w:r>
    </w:p>
    <w:p>
      <w:pPr>
        <w:pStyle w:val="ListParagraph"/>
        <w:numPr>
          <w:ilvl w:val="0"/>
          <w:numId w:val="2"/>
        </w:numPr>
        <w:spacing w:after="60" w:line="260"/>
      </w:pPr>
      <w:r>
        <w:rPr>
          <w:rFonts w:ascii="Calibri" w:cs="Calibri" w:eastAsia="Calibri" w:hAnsi="Calibri"/>
          <w:sz w:val="20"/>
          <w:szCs w:val="20"/>
        </w:rPr>
        <w:t xml:space="preserve">Comptabilité tourisme (équipe finance).</w:t>
      </w:r>
    </w:p>
    <w:p>
      <w:pPr>
        <w:pStyle w:val="ListParagraph"/>
        <w:numPr>
          <w:ilvl w:val="0"/>
          <w:numId w:val="2"/>
        </w:numPr>
        <w:spacing w:after="60" w:line="260"/>
      </w:pPr>
      <w:r>
        <w:rPr>
          <w:rFonts w:ascii="Calibri" w:cs="Calibri" w:eastAsia="Calibri" w:hAnsi="Calibri"/>
          <w:sz w:val="20"/>
          <w:szCs w:val="20"/>
        </w:rPr>
        <w:t xml:space="preserve">Outils SaaS internes (Stripe, Google Workspace, etc.).</w:t>
      </w:r>
    </w:p>
    <w:p>
      <w:pPr>
        <w:pStyle w:val="ListParagraph"/>
        <w:numPr>
          <w:ilvl w:val="0"/>
          <w:numId w:val="2"/>
        </w:numPr>
        <w:spacing w:after="60" w:line="260"/>
      </w:pPr>
      <w:r>
        <w:rPr>
          <w:rFonts w:ascii="Calibri" w:cs="Calibri" w:eastAsia="Calibri" w:hAnsi="Calibri"/>
          <w:sz w:val="20"/>
          <w:szCs w:val="20"/>
        </w:rPr>
        <w:t xml:space="preserve">Accessibilité numérique WCAG (équipe dev/UX).</w:t>
      </w:r>
    </w:p>
    <w:p>
      <w:pPr>
        <w:spacing w:after="100" w:before="220"/>
      </w:pPr>
      <w:r>
        <w:rPr>
          <w:rFonts w:ascii="Calibri" w:cs="Calibri" w:eastAsia="Calibri" w:hAnsi="Calibri"/>
          <w:b/>
          <w:bCs/>
          <w:color w:val="E87722"/>
          <w:sz w:val="22"/>
          <w:szCs w:val="22"/>
        </w:rPr>
        <w:t xml:space="preserve">3.4. Formations transverses</w:t>
      </w:r>
    </w:p>
    <w:p>
      <w:pPr>
        <w:pStyle w:val="ListParagraph"/>
        <w:numPr>
          <w:ilvl w:val="0"/>
          <w:numId w:val="2"/>
        </w:numPr>
        <w:spacing w:after="60" w:line="260"/>
      </w:pPr>
      <w:r>
        <w:rPr>
          <w:rFonts w:ascii="Calibri" w:cs="Calibri" w:eastAsia="Calibri" w:hAnsi="Calibri"/>
          <w:sz w:val="20"/>
          <w:szCs w:val="20"/>
        </w:rPr>
        <w:t xml:space="preserve">Communication écrite et orale.</w:t>
      </w:r>
    </w:p>
    <w:p>
      <w:pPr>
        <w:pStyle w:val="ListParagraph"/>
        <w:numPr>
          <w:ilvl w:val="0"/>
          <w:numId w:val="2"/>
        </w:numPr>
        <w:spacing w:after="60" w:line="260"/>
      </w:pPr>
      <w:r>
        <w:rPr>
          <w:rFonts w:ascii="Calibri" w:cs="Calibri" w:eastAsia="Calibri" w:hAnsi="Calibri"/>
          <w:sz w:val="20"/>
          <w:szCs w:val="20"/>
        </w:rPr>
        <w:t xml:space="preserve">Prise de parole en public.</w:t>
      </w:r>
    </w:p>
    <w:p>
      <w:pPr>
        <w:pStyle w:val="ListParagraph"/>
        <w:numPr>
          <w:ilvl w:val="0"/>
          <w:numId w:val="2"/>
        </w:numPr>
        <w:spacing w:after="60" w:line="260"/>
      </w:pPr>
      <w:r>
        <w:rPr>
          <w:rFonts w:ascii="Calibri" w:cs="Calibri" w:eastAsia="Calibri" w:hAnsi="Calibri"/>
          <w:sz w:val="20"/>
          <w:szCs w:val="20"/>
        </w:rPr>
        <w:t xml:space="preserve">Management (pour collaborateurs avec encadrement).</w:t>
      </w:r>
    </w:p>
    <w:p>
      <w:pPr>
        <w:pStyle w:val="ListParagraph"/>
        <w:numPr>
          <w:ilvl w:val="0"/>
          <w:numId w:val="2"/>
        </w:numPr>
        <w:spacing w:after="60" w:line="260"/>
      </w:pPr>
      <w:r>
        <w:rPr>
          <w:rFonts w:ascii="Calibri" w:cs="Calibri" w:eastAsia="Calibri" w:hAnsi="Calibri"/>
          <w:sz w:val="20"/>
          <w:szCs w:val="20"/>
        </w:rPr>
        <w:t xml:space="preserve">Gestion du temps et priorités.</w:t>
      </w:r>
    </w:p>
    <w:p>
      <w:pPr>
        <w:pStyle w:val="ListParagraph"/>
        <w:numPr>
          <w:ilvl w:val="0"/>
          <w:numId w:val="2"/>
        </w:numPr>
        <w:spacing w:after="60" w:line="260"/>
      </w:pPr>
      <w:r>
        <w:rPr>
          <w:rFonts w:ascii="Calibri" w:cs="Calibri" w:eastAsia="Calibri" w:hAnsi="Calibri"/>
          <w:sz w:val="20"/>
          <w:szCs w:val="20"/>
        </w:rPr>
        <w:t xml:space="preserve">Bien-être au travail et risques psycho-sociaux.</w:t>
      </w:r>
    </w:p>
    <w:p>
      <w:pPr>
        <w:pStyle w:val="ListParagraph"/>
        <w:numPr>
          <w:ilvl w:val="0"/>
          <w:numId w:val="2"/>
        </w:numPr>
        <w:spacing w:after="60" w:line="260"/>
      </w:pPr>
      <w:r>
        <w:rPr>
          <w:rFonts w:ascii="Calibri" w:cs="Calibri" w:eastAsia="Calibri" w:hAnsi="Calibri"/>
          <w:sz w:val="20"/>
          <w:szCs w:val="20"/>
        </w:rPr>
        <w:t xml:space="preserve">Langues (anglais prioritaire, espagnol secondaire).</w:t>
      </w:r>
    </w:p>
    <w:p>
      <w:pPr>
        <w:spacing w:after="100" w:before="220"/>
      </w:pPr>
      <w:r>
        <w:rPr>
          <w:rFonts w:ascii="Calibri" w:cs="Calibri" w:eastAsia="Calibri" w:hAnsi="Calibri"/>
          <w:b/>
          <w:bCs/>
          <w:color w:val="E87722"/>
          <w:sz w:val="22"/>
          <w:szCs w:val="22"/>
        </w:rPr>
        <w:t xml:space="preserve">3.5. Formations stratégiques</w:t>
      </w:r>
    </w:p>
    <w:p>
      <w:pPr>
        <w:pStyle w:val="ListParagraph"/>
        <w:numPr>
          <w:ilvl w:val="0"/>
          <w:numId w:val="2"/>
        </w:numPr>
        <w:spacing w:after="60" w:line="260"/>
      </w:pPr>
      <w:r>
        <w:rPr>
          <w:rFonts w:ascii="Calibri" w:cs="Calibri" w:eastAsia="Calibri" w:hAnsi="Calibri"/>
          <w:sz w:val="20"/>
          <w:szCs w:val="20"/>
        </w:rPr>
        <w:t xml:space="preserve">Innovation produit / UX.</w:t>
      </w:r>
    </w:p>
    <w:p>
      <w:pPr>
        <w:pStyle w:val="ListParagraph"/>
        <w:numPr>
          <w:ilvl w:val="0"/>
          <w:numId w:val="2"/>
        </w:numPr>
        <w:spacing w:after="60" w:line="260"/>
      </w:pPr>
      <w:r>
        <w:rPr>
          <w:rFonts w:ascii="Calibri" w:cs="Calibri" w:eastAsia="Calibri" w:hAnsi="Calibri"/>
          <w:sz w:val="20"/>
          <w:szCs w:val="20"/>
        </w:rPr>
        <w:t xml:space="preserve">Économie sociale et solidaire (cohérence Politique RSE).</w:t>
      </w:r>
    </w:p>
    <w:p>
      <w:pPr>
        <w:pStyle w:val="ListParagraph"/>
        <w:numPr>
          <w:ilvl w:val="0"/>
          <w:numId w:val="2"/>
        </w:numPr>
        <w:spacing w:after="60" w:line="260"/>
      </w:pPr>
      <w:r>
        <w:rPr>
          <w:rFonts w:ascii="Calibri" w:cs="Calibri" w:eastAsia="Calibri" w:hAnsi="Calibri"/>
          <w:sz w:val="20"/>
          <w:szCs w:val="20"/>
        </w:rPr>
        <w:t xml:space="preserve">Tourisme durable (cohérence Charte engagement carbone).</w:t>
      </w:r>
    </w:p>
    <w:p>
      <w:pPr>
        <w:pStyle w:val="ListParagraph"/>
        <w:numPr>
          <w:ilvl w:val="0"/>
          <w:numId w:val="2"/>
        </w:numPr>
        <w:spacing w:after="60" w:line="260"/>
      </w:pPr>
      <w:r>
        <w:rPr>
          <w:rFonts w:ascii="Calibri" w:cs="Calibri" w:eastAsia="Calibri" w:hAnsi="Calibri"/>
          <w:sz w:val="20"/>
          <w:szCs w:val="20"/>
        </w:rPr>
        <w:t xml:space="preserve">Conférences professionnelles externes (1-2 j/an).</w:t>
      </w:r>
    </w:p>
    <w:p>
      <w:pPr>
        <w:spacing w:after="160" w:before="240"/>
      </w:pPr>
      <w:r>
        <w:rPr>
          <w:rFonts w:ascii="Calibri" w:cs="Calibri" w:eastAsia="Calibri" w:hAnsi="Calibri"/>
          <w:b/>
          <w:bCs/>
          <w:color w:val="1F4E79"/>
          <w:sz w:val="32"/>
          <w:szCs w:val="32"/>
        </w:rPr>
        <w:t xml:space="preserve">4. Modalités de formation</w:t>
      </w:r>
    </w:p>
    <w:p>
      <w:pPr>
        <w:spacing w:after="100" w:before="220"/>
      </w:pPr>
      <w:r>
        <w:rPr>
          <w:rFonts w:ascii="Calibri" w:cs="Calibri" w:eastAsia="Calibri" w:hAnsi="Calibri"/>
          <w:b/>
          <w:bCs/>
          <w:color w:val="E87722"/>
          <w:sz w:val="22"/>
          <w:szCs w:val="22"/>
        </w:rPr>
        <w:t xml:space="preserve">4.1. Formations internes Eventy</w:t>
      </w:r>
    </w:p>
    <w:p>
      <w:pPr>
        <w:pStyle w:val="ListParagraph"/>
        <w:numPr>
          <w:ilvl w:val="0"/>
          <w:numId w:val="2"/>
        </w:numPr>
        <w:spacing w:after="60" w:line="260"/>
      </w:pPr>
      <w:r>
        <w:rPr>
          <w:rFonts w:ascii="Calibri" w:cs="Calibri" w:eastAsia="Calibri" w:hAnsi="Calibri"/>
          <w:sz w:val="20"/>
          <w:szCs w:val="20"/>
        </w:rPr>
        <w:t xml:space="preserve">Onboarding nouveau collaborateur (1 semaine — cohérence Procédure de recrutement).</w:t>
      </w:r>
    </w:p>
    <w:p>
      <w:pPr>
        <w:pStyle w:val="ListParagraph"/>
        <w:numPr>
          <w:ilvl w:val="0"/>
          <w:numId w:val="2"/>
        </w:numPr>
        <w:spacing w:after="60" w:line="260"/>
      </w:pPr>
      <w:r>
        <w:rPr>
          <w:rFonts w:ascii="Calibri" w:cs="Calibri" w:eastAsia="Calibri" w:hAnsi="Calibri"/>
          <w:sz w:val="20"/>
          <w:szCs w:val="20"/>
        </w:rPr>
        <w:t xml:space="preserve">Modules courts internes (« lunch &amp; learn ») — 30-60 min, périodicité mensuelle.</w:t>
      </w:r>
    </w:p>
    <w:p>
      <w:pPr>
        <w:pStyle w:val="ListParagraph"/>
        <w:numPr>
          <w:ilvl w:val="0"/>
          <w:numId w:val="2"/>
        </w:numPr>
        <w:spacing w:after="60" w:line="260"/>
      </w:pPr>
      <w:r>
        <w:rPr>
          <w:rFonts w:ascii="Calibri" w:cs="Calibri" w:eastAsia="Calibri" w:hAnsi="Calibri"/>
          <w:sz w:val="20"/>
          <w:szCs w:val="20"/>
        </w:rPr>
        <w:t xml:space="preserve">Partage d'expérience post-conférence externe (10 min).</w:t>
      </w:r>
    </w:p>
    <w:p>
      <w:pPr>
        <w:pStyle w:val="ListParagraph"/>
        <w:numPr>
          <w:ilvl w:val="0"/>
          <w:numId w:val="2"/>
        </w:numPr>
        <w:spacing w:after="60" w:line="260"/>
      </w:pPr>
      <w:r>
        <w:rPr>
          <w:rFonts w:ascii="Calibri" w:cs="Calibri" w:eastAsia="Calibri" w:hAnsi="Calibri"/>
          <w:sz w:val="20"/>
          <w:szCs w:val="20"/>
        </w:rPr>
        <w:t xml:space="preserve">Mentorat interne (collaborateur ancien accompagne nouveau).</w:t>
      </w:r>
    </w:p>
    <w:p>
      <w:pPr>
        <w:spacing w:after="100" w:before="220"/>
      </w:pPr>
      <w:r>
        <w:rPr>
          <w:rFonts w:ascii="Calibri" w:cs="Calibri" w:eastAsia="Calibri" w:hAnsi="Calibri"/>
          <w:b/>
          <w:bCs/>
          <w:color w:val="E87722"/>
          <w:sz w:val="22"/>
          <w:szCs w:val="22"/>
        </w:rPr>
        <w:t xml:space="preserve">4.2. Formations externes</w:t>
      </w:r>
    </w:p>
    <w:p>
      <w:pPr>
        <w:pStyle w:val="ListParagraph"/>
        <w:numPr>
          <w:ilvl w:val="0"/>
          <w:numId w:val="2"/>
        </w:numPr>
        <w:spacing w:after="60" w:line="260"/>
      </w:pPr>
      <w:r>
        <w:rPr>
          <w:rFonts w:ascii="Calibri" w:cs="Calibri" w:eastAsia="Calibri" w:hAnsi="Calibri"/>
          <w:sz w:val="20"/>
          <w:szCs w:val="20"/>
        </w:rPr>
        <w:t xml:space="preserve">Organisme de formation agréé (vérification certification Qualiopi).</w:t>
      </w:r>
    </w:p>
    <w:p>
      <w:pPr>
        <w:pStyle w:val="ListParagraph"/>
        <w:numPr>
          <w:ilvl w:val="0"/>
          <w:numId w:val="2"/>
        </w:numPr>
        <w:spacing w:after="60" w:line="260"/>
      </w:pPr>
      <w:r>
        <w:rPr>
          <w:rFonts w:ascii="Calibri" w:cs="Calibri" w:eastAsia="Calibri" w:hAnsi="Calibri"/>
          <w:sz w:val="20"/>
          <w:szCs w:val="20"/>
        </w:rPr>
        <w:t xml:space="preserve">MOOCs et e-learning de qualité (cf. liste recommandée).</w:t>
      </w:r>
    </w:p>
    <w:p>
      <w:pPr>
        <w:pStyle w:val="ListParagraph"/>
        <w:numPr>
          <w:ilvl w:val="0"/>
          <w:numId w:val="2"/>
        </w:numPr>
        <w:spacing w:after="60" w:line="260"/>
      </w:pPr>
      <w:r>
        <w:rPr>
          <w:rFonts w:ascii="Calibri" w:cs="Calibri" w:eastAsia="Calibri" w:hAnsi="Calibri"/>
          <w:sz w:val="20"/>
          <w:szCs w:val="20"/>
        </w:rPr>
        <w:t xml:space="preserve">Conférences sectorielles (IFTM, Web Summit, etc.).</w:t>
      </w:r>
    </w:p>
    <w:p>
      <w:pPr>
        <w:pStyle w:val="ListParagraph"/>
        <w:numPr>
          <w:ilvl w:val="0"/>
          <w:numId w:val="2"/>
        </w:numPr>
        <w:spacing w:after="60" w:line="260"/>
      </w:pPr>
      <w:r>
        <w:rPr>
          <w:rFonts w:ascii="Calibri" w:cs="Calibri" w:eastAsia="Calibri" w:hAnsi="Calibri"/>
          <w:sz w:val="20"/>
          <w:szCs w:val="20"/>
        </w:rPr>
        <w:t xml:space="preserve">Formations diplômantes (CPF mobilisable).</w:t>
      </w:r>
    </w:p>
    <w:p>
      <w:pPr>
        <w:spacing w:after="100" w:before="220"/>
      </w:pPr>
      <w:r>
        <w:rPr>
          <w:rFonts w:ascii="Calibri" w:cs="Calibri" w:eastAsia="Calibri" w:hAnsi="Calibri"/>
          <w:b/>
          <w:bCs/>
          <w:color w:val="E87722"/>
          <w:sz w:val="22"/>
          <w:szCs w:val="22"/>
        </w:rPr>
        <w:t xml:space="preserve">4.3. Conférences et événements</w:t>
      </w:r>
    </w:p>
    <w:p>
      <w:pPr>
        <w:pStyle w:val="ListParagraph"/>
        <w:numPr>
          <w:ilvl w:val="0"/>
          <w:numId w:val="2"/>
        </w:numPr>
        <w:spacing w:after="60" w:line="260"/>
      </w:pPr>
      <w:r>
        <w:rPr>
          <w:rFonts w:ascii="Calibri" w:cs="Calibri" w:eastAsia="Calibri" w:hAnsi="Calibri"/>
          <w:sz w:val="20"/>
          <w:szCs w:val="20"/>
        </w:rPr>
        <w:t xml:space="preserve">Budget conférences professionnelles : 500-1 500 €/an/collaborateur.</w:t>
      </w:r>
    </w:p>
    <w:p>
      <w:pPr>
        <w:pStyle w:val="ListParagraph"/>
        <w:numPr>
          <w:ilvl w:val="0"/>
          <w:numId w:val="2"/>
        </w:numPr>
        <w:spacing w:after="60" w:line="260"/>
      </w:pPr>
      <w:r>
        <w:rPr>
          <w:rFonts w:ascii="Calibri" w:cs="Calibri" w:eastAsia="Calibri" w:hAnsi="Calibri"/>
          <w:sz w:val="20"/>
          <w:szCs w:val="20"/>
        </w:rPr>
        <w:t xml:space="preserve">Restitution équipe obligatoire (5-10 min) après chaque conférence.</w:t>
      </w:r>
    </w:p>
    <w:p>
      <w:pPr>
        <w:pStyle w:val="ListParagraph"/>
        <w:numPr>
          <w:ilvl w:val="0"/>
          <w:numId w:val="2"/>
        </w:numPr>
        <w:spacing w:after="60" w:line="260"/>
      </w:pPr>
      <w:r>
        <w:rPr>
          <w:rFonts w:ascii="Calibri" w:cs="Calibri" w:eastAsia="Calibri" w:hAnsi="Calibri"/>
          <w:sz w:val="20"/>
          <w:szCs w:val="20"/>
        </w:rPr>
        <w:t xml:space="preserve">Cohérence avec Plan d'événements (présence Eventy à certains salons).</w:t>
      </w:r>
    </w:p>
    <w:p>
      <w:pPr>
        <w:spacing w:after="160" w:before="240"/>
      </w:pPr>
      <w:r>
        <w:rPr>
          <w:rFonts w:ascii="Calibri" w:cs="Calibri" w:eastAsia="Calibri" w:hAnsi="Calibri"/>
          <w:b/>
          <w:bCs/>
          <w:color w:val="1F4E79"/>
          <w:sz w:val="32"/>
          <w:szCs w:val="32"/>
        </w:rPr>
        <w:t xml:space="preserve">5. Parcours individualisés</w:t>
      </w:r>
    </w:p>
    <w:p>
      <w:pPr>
        <w:spacing w:after="100" w:before="220"/>
      </w:pPr>
      <w:r>
        <w:rPr>
          <w:rFonts w:ascii="Calibri" w:cs="Calibri" w:eastAsia="Calibri" w:hAnsi="Calibri"/>
          <w:b/>
          <w:bCs/>
          <w:color w:val="E87722"/>
          <w:sz w:val="22"/>
          <w:szCs w:val="22"/>
        </w:rPr>
        <w:t xml:space="preserve">5.1. Cadre</w:t>
      </w:r>
    </w:p>
    <w:p>
      <w:pPr>
        <w:pStyle w:val="ListParagraph"/>
        <w:numPr>
          <w:ilvl w:val="0"/>
          <w:numId w:val="2"/>
        </w:numPr>
        <w:spacing w:after="60" w:line="260"/>
      </w:pPr>
      <w:r>
        <w:rPr>
          <w:rFonts w:ascii="Calibri" w:cs="Calibri" w:eastAsia="Calibri" w:hAnsi="Calibri"/>
          <w:sz w:val="20"/>
          <w:szCs w:val="20"/>
        </w:rPr>
        <w:t xml:space="preserve">Plan de formation individuel défini lors de l'entretien annuel (cohérence Modèle d'entretien annuel).</w:t>
      </w:r>
    </w:p>
    <w:p>
      <w:pPr>
        <w:pStyle w:val="ListParagraph"/>
        <w:numPr>
          <w:ilvl w:val="0"/>
          <w:numId w:val="2"/>
        </w:numPr>
        <w:spacing w:after="60" w:line="260"/>
      </w:pPr>
      <w:r>
        <w:rPr>
          <w:rFonts w:ascii="Calibri" w:cs="Calibri" w:eastAsia="Calibri" w:hAnsi="Calibri"/>
          <w:sz w:val="20"/>
          <w:szCs w:val="20"/>
        </w:rPr>
        <w:t xml:space="preserve">Adapté au poste, à la séniorité et aux aspirations du collaborateur.</w:t>
      </w:r>
    </w:p>
    <w:p>
      <w:pPr>
        <w:pStyle w:val="ListParagraph"/>
        <w:numPr>
          <w:ilvl w:val="0"/>
          <w:numId w:val="2"/>
        </w:numPr>
        <w:spacing w:after="60" w:line="260"/>
      </w:pPr>
      <w:r>
        <w:rPr>
          <w:rFonts w:ascii="Calibri" w:cs="Calibri" w:eastAsia="Calibri" w:hAnsi="Calibri"/>
          <w:sz w:val="20"/>
          <w:szCs w:val="20"/>
        </w:rPr>
        <w:t xml:space="preserve">Validation par le Président.</w:t>
      </w:r>
    </w:p>
    <w:p>
      <w:pPr>
        <w:pStyle w:val="ListParagraph"/>
        <w:numPr>
          <w:ilvl w:val="0"/>
          <w:numId w:val="2"/>
        </w:numPr>
        <w:spacing w:after="60" w:line="260"/>
      </w:pPr>
      <w:r>
        <w:rPr>
          <w:rFonts w:ascii="Calibri" w:cs="Calibri" w:eastAsia="Calibri" w:hAnsi="Calibri"/>
          <w:sz w:val="20"/>
          <w:szCs w:val="20"/>
        </w:rPr>
        <w:t xml:space="preserve">Suivi semestriel.</w:t>
      </w:r>
    </w:p>
    <w:p>
      <w:pPr>
        <w:spacing w:after="100" w:before="220"/>
      </w:pPr>
      <w:r>
        <w:rPr>
          <w:rFonts w:ascii="Calibri" w:cs="Calibri" w:eastAsia="Calibri" w:hAnsi="Calibri"/>
          <w:b/>
          <w:bCs/>
          <w:color w:val="E87722"/>
          <w:sz w:val="22"/>
          <w:szCs w:val="22"/>
        </w:rPr>
        <w:t xml:space="preserve">5.2. Exemples par profil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Profil</w:t>
            </w:r>
          </w:p>
        </w:tc>
        <w:tc>
          <w:tcPr>
            <w:tcW w:type="dxa" w:w="312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Focus formation An 1</w:t>
            </w:r>
          </w:p>
        </w:tc>
        <w:tc>
          <w:tcPr>
            <w:tcW w:type="dxa" w:w="312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Budget annuel cible</w:t>
            </w:r>
          </w:p>
        </w:tc>
      </w:tr>
      <w:tr>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Junior dev</w:t>
            </w:r>
          </w:p>
        </w:tc>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Stack technique + cybersécurité</w:t>
            </w:r>
          </w:p>
        </w:tc>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1 500 €</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Confirmé dev</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Architecture + accessibilité</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2 500 €</w:t>
            </w:r>
          </w:p>
        </w:tc>
      </w:tr>
      <w:tr>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Communication / marketing</w:t>
            </w:r>
          </w:p>
        </w:tc>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Tourisme + RSE</w:t>
            </w:r>
          </w:p>
        </w:tc>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2 000 €</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Opérations / support</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Tourisme + relations clients</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1 500 €</w:t>
            </w:r>
          </w:p>
        </w:tc>
      </w:tr>
      <w:tr>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Finance / admin</w:t>
            </w:r>
          </w:p>
        </w:tc>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Comptabilité tourisme + audit</w:t>
            </w:r>
          </w:p>
        </w:tc>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2 500 €</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Manager</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Management + leadership</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3 500 €</w:t>
            </w:r>
          </w:p>
        </w:tc>
      </w:tr>
    </w:tbl>
    <w:p>
      <w:pPr>
        <w:spacing w:after="160" w:before="240"/>
      </w:pPr>
      <w:r>
        <w:rPr>
          <w:rFonts w:ascii="Calibri" w:cs="Calibri" w:eastAsia="Calibri" w:hAnsi="Calibri"/>
          <w:b/>
          <w:bCs/>
          <w:color w:val="1F4E79"/>
          <w:sz w:val="32"/>
          <w:szCs w:val="32"/>
        </w:rPr>
        <w:t xml:space="preserve">6. Reporting et suivi</w:t>
      </w:r>
    </w:p>
    <w:p>
      <w:pPr>
        <w:pStyle w:val="ListParagraph"/>
        <w:numPr>
          <w:ilvl w:val="0"/>
          <w:numId w:val="2"/>
        </w:numPr>
        <w:spacing w:after="60" w:line="260"/>
      </w:pPr>
      <w:r>
        <w:rPr>
          <w:rFonts w:ascii="Calibri" w:cs="Calibri" w:eastAsia="Calibri" w:hAnsi="Calibri"/>
          <w:sz w:val="20"/>
          <w:szCs w:val="20"/>
        </w:rPr>
        <w:t xml:space="preserve">Suivi heures de formation par collaborateur (registre interne).</w:t>
      </w:r>
    </w:p>
    <w:p>
      <w:pPr>
        <w:pStyle w:val="ListParagraph"/>
        <w:numPr>
          <w:ilvl w:val="0"/>
          <w:numId w:val="2"/>
        </w:numPr>
        <w:spacing w:after="60" w:line="260"/>
      </w:pPr>
      <w:r>
        <w:rPr>
          <w:rFonts w:ascii="Calibri" w:cs="Calibri" w:eastAsia="Calibri" w:hAnsi="Calibri"/>
          <w:sz w:val="20"/>
          <w:szCs w:val="20"/>
        </w:rPr>
        <w:t xml:space="preserve">Reporting annuel à l'OPCO (financement formation).</w:t>
      </w:r>
    </w:p>
    <w:p>
      <w:pPr>
        <w:pStyle w:val="ListParagraph"/>
        <w:numPr>
          <w:ilvl w:val="0"/>
          <w:numId w:val="2"/>
        </w:numPr>
        <w:spacing w:after="60" w:line="260"/>
      </w:pPr>
      <w:r>
        <w:rPr>
          <w:rFonts w:ascii="Calibri" w:cs="Calibri" w:eastAsia="Calibri" w:hAnsi="Calibri"/>
          <w:sz w:val="20"/>
          <w:szCs w:val="20"/>
        </w:rPr>
        <w:t xml:space="preserve">Indicateurs internes mensuels (cohérence Tableau de bord opérationnel).</w:t>
      </w:r>
    </w:p>
    <w:p>
      <w:pPr>
        <w:pStyle w:val="ListParagraph"/>
        <w:numPr>
          <w:ilvl w:val="0"/>
          <w:numId w:val="2"/>
        </w:numPr>
        <w:spacing w:after="60" w:line="260"/>
      </w:pPr>
      <w:r>
        <w:rPr>
          <w:rFonts w:ascii="Calibri" w:cs="Calibri" w:eastAsia="Calibri" w:hAnsi="Calibri"/>
          <w:sz w:val="20"/>
          <w:szCs w:val="20"/>
        </w:rPr>
        <w:t xml:space="preserve">Évaluation utilité formation (questionnaire post-formation).</w:t>
      </w:r>
    </w:p>
    <w:p>
      <w:pPr>
        <w:spacing w:after="160" w:before="240"/>
      </w:pPr>
      <w:r>
        <w:rPr>
          <w:rFonts w:ascii="Calibri" w:cs="Calibri" w:eastAsia="Calibri" w:hAnsi="Calibri"/>
          <w:b/>
          <w:bCs/>
          <w:color w:val="1F4E79"/>
          <w:sz w:val="32"/>
          <w:szCs w:val="32"/>
        </w:rPr>
        <w:t xml:space="preserve">7. Indicateurs 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Indicateur</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1</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3</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Heures formation moyenne / collaborateur / an</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21</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35</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Budget formation / masse salariale</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2 %</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5 %</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Taux de formation obligatoire</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Taux de satisfaction formation</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75 %</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90 %</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Taux de mise en pratique post-formation</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60 %</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80 %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Plan de formation individualisé établi</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r>
    </w:tbl>
    <w:p>
      <w:pPr>
        <w:spacing w:after="160" w:before="240"/>
      </w:pPr>
      <w:r>
        <w:rPr>
          <w:rFonts w:ascii="Calibri" w:cs="Calibri" w:eastAsia="Calibri" w:hAnsi="Calibri"/>
          <w:b/>
          <w:bCs/>
          <w:color w:val="1F4E79"/>
          <w:sz w:val="32"/>
          <w:szCs w:val="32"/>
        </w:rPr>
        <w:t xml:space="preserve">8. Engagements</w:t>
      </w:r>
    </w:p>
    <w:p>
      <w:pPr>
        <w:pStyle w:val="ListParagraph"/>
        <w:numPr>
          <w:ilvl w:val="0"/>
          <w:numId w:val="2"/>
        </w:numPr>
        <w:spacing w:after="60" w:line="260"/>
      </w:pPr>
      <w:r>
        <w:rPr>
          <w:rFonts w:ascii="Calibri" w:cs="Calibri" w:eastAsia="Calibri" w:hAnsi="Calibri"/>
          <w:sz w:val="20"/>
          <w:szCs w:val="20"/>
        </w:rPr>
        <w:t xml:space="preserve">Refus de la formation « gadget » sans utilité réelle.</w:t>
      </w:r>
    </w:p>
    <w:p>
      <w:pPr>
        <w:pStyle w:val="ListParagraph"/>
        <w:numPr>
          <w:ilvl w:val="0"/>
          <w:numId w:val="2"/>
        </w:numPr>
        <w:spacing w:after="60" w:line="260"/>
      </w:pPr>
      <w:r>
        <w:rPr>
          <w:rFonts w:ascii="Calibri" w:cs="Calibri" w:eastAsia="Calibri" w:hAnsi="Calibri"/>
          <w:sz w:val="20"/>
          <w:szCs w:val="20"/>
        </w:rPr>
        <w:t xml:space="preserve">Refus de la formation comme outil de pression managériale.</w:t>
      </w:r>
    </w:p>
    <w:p>
      <w:pPr>
        <w:pStyle w:val="ListParagraph"/>
        <w:numPr>
          <w:ilvl w:val="0"/>
          <w:numId w:val="2"/>
        </w:numPr>
        <w:spacing w:after="60" w:line="260"/>
      </w:pPr>
      <w:r>
        <w:rPr>
          <w:rFonts w:ascii="Calibri" w:cs="Calibri" w:eastAsia="Calibri" w:hAnsi="Calibri"/>
          <w:sz w:val="20"/>
          <w:szCs w:val="20"/>
        </w:rPr>
        <w:t xml:space="preserve">Égalité d'accès à la formation (refus discrimination).</w:t>
      </w:r>
    </w:p>
    <w:p>
      <w:pPr>
        <w:pStyle w:val="ListParagraph"/>
        <w:numPr>
          <w:ilvl w:val="0"/>
          <w:numId w:val="2"/>
        </w:numPr>
        <w:spacing w:after="60" w:line="260"/>
      </w:pPr>
      <w:r>
        <w:rPr>
          <w:rFonts w:ascii="Calibri" w:cs="Calibri" w:eastAsia="Calibri" w:hAnsi="Calibri"/>
          <w:sz w:val="20"/>
          <w:szCs w:val="20"/>
        </w:rPr>
        <w:t xml:space="preserve">Adaptation à la situation personnelle (parents, charges familiales).</w:t>
      </w:r>
    </w:p>
    <w:p>
      <w:pPr>
        <w:pStyle w:val="ListParagraph"/>
        <w:numPr>
          <w:ilvl w:val="0"/>
          <w:numId w:val="2"/>
        </w:numPr>
        <w:spacing w:after="60" w:line="260"/>
      </w:pPr>
      <w:r>
        <w:rPr>
          <w:rFonts w:ascii="Calibri" w:cs="Calibri" w:eastAsia="Calibri" w:hAnsi="Calibri"/>
          <w:sz w:val="20"/>
          <w:szCs w:val="20"/>
        </w:rPr>
        <w:t xml:space="preserve">Possibilité de formation diplômante (CPF + abondement Eventy).</w:t>
      </w:r>
    </w:p>
    <w:p>
      <w:pPr>
        <w:pStyle w:val="ListParagraph"/>
        <w:numPr>
          <w:ilvl w:val="0"/>
          <w:numId w:val="2"/>
        </w:numPr>
        <w:spacing w:after="60" w:line="260"/>
      </w:pPr>
      <w:r>
        <w:rPr>
          <w:rFonts w:ascii="Calibri" w:cs="Calibri" w:eastAsia="Calibri" w:hAnsi="Calibri"/>
          <w:sz w:val="20"/>
          <w:szCs w:val="20"/>
        </w:rPr>
        <w:t xml:space="preserve">Maintien de la rémunération pendant les formations.</w:t>
      </w:r>
    </w:p>
    <w:p>
      <w:pPr>
        <w:spacing w:after="160" w:before="240"/>
      </w:pPr>
      <w:r>
        <w:rPr>
          <w:rFonts w:ascii="Calibri" w:cs="Calibri" w:eastAsia="Calibri" w:hAnsi="Calibri"/>
          <w:b/>
          <w:bCs/>
          <w:color w:val="1F4E79"/>
          <w:sz w:val="32"/>
          <w:szCs w:val="32"/>
        </w:rPr>
        <w:t xml:space="preserve">9. Mobilité interne et évolution</w:t>
      </w:r>
    </w:p>
    <w:p>
      <w:pPr>
        <w:pStyle w:val="ListParagraph"/>
        <w:numPr>
          <w:ilvl w:val="0"/>
          <w:numId w:val="2"/>
        </w:numPr>
        <w:spacing w:after="60" w:line="260"/>
      </w:pPr>
      <w:r>
        <w:rPr>
          <w:rFonts w:ascii="Calibri" w:cs="Calibri" w:eastAsia="Calibri" w:hAnsi="Calibri"/>
          <w:sz w:val="20"/>
          <w:szCs w:val="20"/>
        </w:rPr>
        <w:t xml:space="preserve">Possibilité de mobilité fonctionnelle accompagnée par formation dédiée.</w:t>
      </w:r>
    </w:p>
    <w:p>
      <w:pPr>
        <w:pStyle w:val="ListParagraph"/>
        <w:numPr>
          <w:ilvl w:val="0"/>
          <w:numId w:val="2"/>
        </w:numPr>
        <w:spacing w:after="60" w:line="260"/>
      </w:pPr>
      <w:r>
        <w:rPr>
          <w:rFonts w:ascii="Calibri" w:cs="Calibri" w:eastAsia="Calibri" w:hAnsi="Calibri"/>
          <w:sz w:val="20"/>
          <w:szCs w:val="20"/>
        </w:rPr>
        <w:t xml:space="preserve">Promotion interne préférée à recrutement externe pour postes seniors.</w:t>
      </w:r>
    </w:p>
    <w:p>
      <w:pPr>
        <w:pStyle w:val="ListParagraph"/>
        <w:numPr>
          <w:ilvl w:val="0"/>
          <w:numId w:val="2"/>
        </w:numPr>
        <w:spacing w:after="60" w:line="260"/>
      </w:pPr>
      <w:r>
        <w:rPr>
          <w:rFonts w:ascii="Calibri" w:cs="Calibri" w:eastAsia="Calibri" w:hAnsi="Calibri"/>
          <w:sz w:val="20"/>
          <w:szCs w:val="20"/>
        </w:rPr>
        <w:t xml:space="preserve">Cohérence avec Procédure de recrutement (priorité candidature interne).</w:t>
      </w:r>
    </w:p>
    <w:p>
      <w:pPr>
        <w:spacing w:after="160"/>
      </w:pPr>
      <w:r>
        <w:t xml:space="preserve"/>
      </w:r>
    </w:p>
    <w:p>
      <w:pPr>
        <w:spacing w:after="100" w:line="280"/>
        <w:jc w:val="both"/>
      </w:pPr>
      <w:r>
        <w:rPr>
          <w:rFonts w:ascii="Calibri" w:cs="Calibri" w:eastAsia="Calibri" w:hAnsi="Calibri"/>
          <w:i/>
          <w:iCs/>
          <w:color w:val="555555"/>
          <w:sz w:val="18"/>
          <w:szCs w:val="18"/>
        </w:rPr>
        <w:t xml:space="preserve">Document de référence interne — Version 1.0 — 2 mai 2026. Mise à jour annuelle.</w:t>
      </w:r>
    </w:p>
    <w:p>
      <w:pPr>
        <w:spacing w:after="100" w:line="280"/>
        <w:jc w:val="both"/>
      </w:pPr>
      <w:r>
        <w:rPr>
          <w:rFonts w:ascii="Calibri" w:cs="Calibri" w:eastAsia="Calibri" w:hAnsi="Calibri"/>
          <w:i/>
          <w:iCs/>
          <w:color w:val="555555"/>
          <w:sz w:val="18"/>
          <w:szCs w:val="18"/>
        </w:rPr>
        <w:t xml:space="preserve">Cohérence avec : Charte télétravail, Procédure de recrutement, Modèle d'entretien annuel, Politique RSE (pilier social), Plan de formation accompagnateur, ensemble du dispositif documentaire Eventy.</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Plan formation interne équipe</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Plan de formation interne équipe</dc:title>
  <dc:creator>David Eventy — Eventy Life SAS</dc:creator>
  <dc:description>Référentiel formation continue des collaborateurs salariés.</dc:description>
  <cp:lastModifiedBy>Un-named</cp:lastModifiedBy>
  <cp:revision>1</cp:revision>
  <dcterms:created xsi:type="dcterms:W3CDTF">2026-05-02T03:07:57.504Z</dcterms:created>
  <dcterms:modified xsi:type="dcterms:W3CDTF">2026-05-02T03:07:57.504Z</dcterms:modified>
</cp:coreProperties>
</file>

<file path=docProps/custom.xml><?xml version="1.0" encoding="utf-8"?>
<Properties xmlns="http://schemas.openxmlformats.org/officeDocument/2006/custom-properties" xmlns:vt="http://schemas.openxmlformats.org/officeDocument/2006/docPropsVTypes"/>
</file>