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STRATÉGIQUE 5 ANS EVENTY LIFE</w:t>
            </w:r>
          </w:p>
          <w:p>
            <w:pPr>
              <w:spacing w:after="0"/>
              <w:jc w:val="center"/>
            </w:pPr>
            <w:r>
              <w:rPr>
                <w:rFonts w:ascii="Calibri" w:cs="Calibri" w:eastAsia="Calibri" w:hAnsi="Calibri"/>
                <w:i/>
                <w:iCs/>
                <w:color w:val="1F4E79"/>
                <w:sz w:val="18"/>
                <w:szCs w:val="18"/>
              </w:rPr>
              <w:t xml:space="preserve">Vision long terme consolidée — 2026 → 2031</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vision stratégique d'EVENTY LIFE SAS sur 5 ans (2026-2031). Il consolide les engagements pris dans les autres documents stratégiques (Roadmap technique, Plan d'expansion internationale, Politique RSE, Charte engagement carbone, Dossier investisseur) et les articule dans une trajectoire cohérente. Il sert de boussole pour l'équipe, les associés, les investisseurs et les partenaires.</w:t>
      </w:r>
    </w:p>
    <w:p>
      <w:pPr>
        <w:spacing w:after="100" w:line="280"/>
        <w:jc w:val="both"/>
      </w:pPr>
      <w:r>
        <w:rPr>
          <w:rFonts w:ascii="Calibri" w:cs="Calibri" w:eastAsia="Calibri" w:hAnsi="Calibri"/>
          <w:i/>
          <w:iCs/>
          <w:color w:val="1A1A1A"/>
          <w:sz w:val="20"/>
          <w:szCs w:val="20"/>
        </w:rPr>
        <w:t xml:space="preserve">Le présent plan est consultatif (cohérence Pacte associés Seed). Les décisions structurantes sont validées en assemblée. La stratégie n'est pas une promesse rigide — c'est une intention claire, ajustable aux réalités opérationnelles. Elle se mesure annuellement et se révise tous les 2-3 ans.</w:t>
      </w:r>
    </w:p>
    <w:p>
      <w:pPr>
        <w:spacing w:after="160" w:before="240"/>
      </w:pPr>
      <w:r>
        <w:rPr>
          <w:rFonts w:ascii="Calibri" w:cs="Calibri" w:eastAsia="Calibri" w:hAnsi="Calibri"/>
          <w:b/>
          <w:bCs/>
          <w:color w:val="1F4E79"/>
          <w:sz w:val="32"/>
          <w:szCs w:val="32"/>
        </w:rPr>
        <w:t xml:space="preserve">1. Vision 2031</w:t>
      </w:r>
    </w:p>
    <w:p>
      <w:pPr>
        <w:spacing w:after="100" w:before="220"/>
      </w:pPr>
      <w:r>
        <w:rPr>
          <w:rFonts w:ascii="Calibri" w:cs="Calibri" w:eastAsia="Calibri" w:hAnsi="Calibri"/>
          <w:b/>
          <w:bCs/>
          <w:color w:val="E87722"/>
          <w:sz w:val="22"/>
          <w:szCs w:val="22"/>
        </w:rPr>
        <w:t xml:space="preserve">1.1. Promesse</w:t>
      </w:r>
    </w:p>
    <w:p>
      <w:pPr>
        <w:spacing w:after="100" w:line="280"/>
        <w:jc w:val="both"/>
      </w:pPr>
      <w:r>
        <w:rPr>
          <w:rFonts w:ascii="Calibri" w:cs="Calibri" w:eastAsia="Calibri" w:hAnsi="Calibri"/>
          <w:b/>
          <w:bCs/>
          <w:i/>
          <w:iCs/>
          <w:color w:val="1A1A1A"/>
          <w:sz w:val="20"/>
          <w:szCs w:val="20"/>
        </w:rPr>
        <w:t xml:space="preserve">« En 2031, Eventy Life est devenu la référence française et européenne du voyage de groupe accompagné, choisie par des centaines de milliers de voyageurs pour sa transparence radicale, sa chaleur humaine et son économie circulaire. »</w:t>
      </w:r>
    </w:p>
    <w:p>
      <w:pPr>
        <w:spacing w:after="100" w:before="220"/>
      </w:pPr>
      <w:r>
        <w:rPr>
          <w:rFonts w:ascii="Calibri" w:cs="Calibri" w:eastAsia="Calibri" w:hAnsi="Calibri"/>
          <w:b/>
          <w:bCs/>
          <w:color w:val="E87722"/>
          <w:sz w:val="22"/>
          <w:szCs w:val="22"/>
        </w:rPr>
        <w:t xml:space="preserve">1.2. Trois ambitions structurantes</w:t>
      </w:r>
    </w:p>
    <w:p>
      <w:pPr>
        <w:pStyle w:val="ListParagraph"/>
        <w:numPr>
          <w:ilvl w:val="0"/>
          <w:numId w:val="2"/>
        </w:numPr>
        <w:spacing w:after="60" w:line="260"/>
      </w:pPr>
      <w:r>
        <w:rPr>
          <w:rFonts w:ascii="Calibri" w:cs="Calibri" w:eastAsia="Calibri" w:hAnsi="Calibri"/>
          <w:sz w:val="20"/>
          <w:szCs w:val="20"/>
        </w:rPr>
        <w:t xml:space="preserve">**Volume** — opérer ≥ 30 000 voyages / an, ≥ 1 M voyageurs/an cumulé en An 5.</w:t>
      </w:r>
    </w:p>
    <w:p>
      <w:pPr>
        <w:pStyle w:val="ListParagraph"/>
        <w:numPr>
          <w:ilvl w:val="0"/>
          <w:numId w:val="2"/>
        </w:numPr>
        <w:spacing w:after="60" w:line="260"/>
      </w:pPr>
      <w:r>
        <w:rPr>
          <w:rFonts w:ascii="Calibri" w:cs="Calibri" w:eastAsia="Calibri" w:hAnsi="Calibri"/>
          <w:sz w:val="20"/>
          <w:szCs w:val="20"/>
        </w:rPr>
        <w:t xml:space="preserve">**Profitabilité** — atteindre une marge nette de 5-7 % du CA, soutenable et durable.</w:t>
      </w:r>
    </w:p>
    <w:p>
      <w:pPr>
        <w:pStyle w:val="ListParagraph"/>
        <w:numPr>
          <w:ilvl w:val="0"/>
          <w:numId w:val="2"/>
        </w:numPr>
        <w:spacing w:after="60" w:line="260"/>
      </w:pPr>
      <w:r>
        <w:rPr>
          <w:rFonts w:ascii="Calibri" w:cs="Calibri" w:eastAsia="Calibri" w:hAnsi="Calibri"/>
          <w:sz w:val="20"/>
          <w:szCs w:val="20"/>
        </w:rPr>
        <w:t xml:space="preserve">**Impact** — devenir l'opérateur de référence pour le tourisme transparent, redistributif et bas-carbone en France et Europe.</w:t>
      </w:r>
    </w:p>
    <w:p>
      <w:pPr>
        <w:spacing w:after="160" w:before="240"/>
      </w:pPr>
      <w:r>
        <w:rPr>
          <w:rFonts w:ascii="Calibri" w:cs="Calibri" w:eastAsia="Calibri" w:hAnsi="Calibri"/>
          <w:b/>
          <w:bCs/>
          <w:color w:val="1F4E79"/>
          <w:sz w:val="32"/>
          <w:szCs w:val="32"/>
        </w:rPr>
        <w:t xml:space="preserve">2. Trajectoire chiffrée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140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1</w:t>
            </w:r>
          </w:p>
        </w:tc>
        <w:tc>
          <w:tcPr>
            <w:tcW w:type="dxa" w:w="140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2</w:t>
            </w:r>
          </w:p>
        </w:tc>
        <w:tc>
          <w:tcPr>
            <w:tcW w:type="dxa" w:w="140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3</w:t>
            </w:r>
          </w:p>
        </w:tc>
        <w:tc>
          <w:tcPr>
            <w:tcW w:type="dxa" w:w="140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opérés</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1 000</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5 000</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15 000</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30 000+</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cumulés</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230 K</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780 K</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M+</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 HT (M€)</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240</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480+</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brute (%)</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10-12</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11-13</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12-14</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13-15</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nette (%)</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2-3</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5-6</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5-7</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Effectif salariés</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10-15</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20-30</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50-70</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 opérés</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2-3</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5-7</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10-12</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HRA partenaires</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120</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250</w:t>
            </w:r>
          </w:p>
        </w:tc>
        <w:tc>
          <w:tcPr>
            <w:tcW w:type="dxa" w:w="140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500+</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APST</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 M€</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M€</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 M€</w:t>
            </w:r>
          </w:p>
        </w:tc>
        <w:tc>
          <w:tcPr>
            <w:tcW w:type="dxa" w:w="140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 M€</w:t>
            </w:r>
          </w:p>
        </w:tc>
      </w:tr>
    </w:tbl>
    <w:p>
      <w:pPr>
        <w:spacing w:after="160" w:before="240"/>
      </w:pPr>
      <w:r>
        <w:rPr>
          <w:rFonts w:ascii="Calibri" w:cs="Calibri" w:eastAsia="Calibri" w:hAnsi="Calibri"/>
          <w:b/>
          <w:bCs/>
          <w:color w:val="1F4E79"/>
          <w:sz w:val="32"/>
          <w:szCs w:val="32"/>
        </w:rPr>
        <w:t xml:space="preserve">3. Phases stratégiques</w:t>
      </w:r>
    </w:p>
    <w:p>
      <w:pPr>
        <w:spacing w:after="100" w:before="220"/>
      </w:pPr>
      <w:r>
        <w:rPr>
          <w:rFonts w:ascii="Calibri" w:cs="Calibri" w:eastAsia="Calibri" w:hAnsi="Calibri"/>
          <w:b/>
          <w:bCs/>
          <w:color w:val="E87722"/>
          <w:sz w:val="22"/>
          <w:szCs w:val="22"/>
        </w:rPr>
        <w:t xml:space="preserve">3.1. Phase 1 — Lancement et validation (An 1, 2026-2027)</w:t>
      </w:r>
    </w:p>
    <w:p>
      <w:pPr>
        <w:pStyle w:val="ListParagraph"/>
        <w:numPr>
          <w:ilvl w:val="0"/>
          <w:numId w:val="3"/>
        </w:numPr>
        <w:spacing w:after="60" w:line="260"/>
      </w:pPr>
      <w:r>
        <w:rPr>
          <w:rFonts w:ascii="Calibri" w:cs="Calibri" w:eastAsia="Calibri" w:hAnsi="Calibri"/>
          <w:sz w:val="20"/>
          <w:szCs w:val="20"/>
        </w:rPr>
        <w:t xml:space="preserve">Création SAS, immatriculation Atout France, garantie APST.</w:t>
      </w:r>
    </w:p>
    <w:p>
      <w:pPr>
        <w:pStyle w:val="ListParagraph"/>
        <w:numPr>
          <w:ilvl w:val="0"/>
          <w:numId w:val="3"/>
        </w:numPr>
        <w:spacing w:after="60" w:line="260"/>
      </w:pPr>
      <w:r>
        <w:rPr>
          <w:rFonts w:ascii="Calibri" w:cs="Calibri" w:eastAsia="Calibri" w:hAnsi="Calibri"/>
          <w:sz w:val="20"/>
          <w:szCs w:val="20"/>
        </w:rPr>
        <w:t xml:space="preserve">Catalogue saison 1 (10-15 voyages) et lancement commercial.</w:t>
      </w:r>
    </w:p>
    <w:p>
      <w:pPr>
        <w:pStyle w:val="ListParagraph"/>
        <w:numPr>
          <w:ilvl w:val="0"/>
          <w:numId w:val="3"/>
        </w:numPr>
        <w:spacing w:after="60" w:line="260"/>
      </w:pPr>
      <w:r>
        <w:rPr>
          <w:rFonts w:ascii="Calibri" w:cs="Calibri" w:eastAsia="Calibri" w:hAnsi="Calibri"/>
          <w:sz w:val="20"/>
          <w:szCs w:val="20"/>
        </w:rPr>
        <w:t xml:space="preserve">Constitution du panel HRA et créateurs initiaux.</w:t>
      </w:r>
    </w:p>
    <w:p>
      <w:pPr>
        <w:pStyle w:val="ListParagraph"/>
        <w:numPr>
          <w:ilvl w:val="0"/>
          <w:numId w:val="3"/>
        </w:numPr>
        <w:spacing w:after="60" w:line="260"/>
      </w:pPr>
      <w:r>
        <w:rPr>
          <w:rFonts w:ascii="Calibri" w:cs="Calibri" w:eastAsia="Calibri" w:hAnsi="Calibri"/>
          <w:sz w:val="20"/>
          <w:szCs w:val="20"/>
        </w:rPr>
        <w:t xml:space="preserve">Atteinte ≥ 1 000 voyages opérés, NPS ≥ + 60.</w:t>
      </w:r>
    </w:p>
    <w:p>
      <w:pPr>
        <w:pStyle w:val="ListParagraph"/>
        <w:numPr>
          <w:ilvl w:val="0"/>
          <w:numId w:val="3"/>
        </w:numPr>
        <w:spacing w:after="60" w:line="260"/>
      </w:pPr>
      <w:r>
        <w:rPr>
          <w:rFonts w:ascii="Calibri" w:cs="Calibri" w:eastAsia="Calibri" w:hAnsi="Calibri"/>
          <w:sz w:val="20"/>
          <w:szCs w:val="20"/>
        </w:rPr>
        <w:t xml:space="preserve">Levée de fonds Seed validée.</w:t>
      </w:r>
    </w:p>
    <w:p>
      <w:pPr>
        <w:spacing w:after="100" w:before="220"/>
      </w:pPr>
      <w:r>
        <w:rPr>
          <w:rFonts w:ascii="Calibri" w:cs="Calibri" w:eastAsia="Calibri" w:hAnsi="Calibri"/>
          <w:b/>
          <w:bCs/>
          <w:color w:val="E87722"/>
          <w:sz w:val="22"/>
          <w:szCs w:val="22"/>
        </w:rPr>
        <w:t xml:space="preserve">3.2. Phase 2 — Consolidation et croissance (An 2, 2027-2028)</w:t>
      </w:r>
    </w:p>
    <w:p>
      <w:pPr>
        <w:pStyle w:val="ListParagraph"/>
        <w:numPr>
          <w:ilvl w:val="0"/>
          <w:numId w:val="3"/>
        </w:numPr>
        <w:spacing w:after="60" w:line="260"/>
      </w:pPr>
      <w:r>
        <w:rPr>
          <w:rFonts w:ascii="Calibri" w:cs="Calibri" w:eastAsia="Calibri" w:hAnsi="Calibri"/>
          <w:sz w:val="20"/>
          <w:szCs w:val="20"/>
        </w:rPr>
        <w:t xml:space="preserve">Extension catalogue (20-30 voyages).</w:t>
      </w:r>
    </w:p>
    <w:p>
      <w:pPr>
        <w:pStyle w:val="ListParagraph"/>
        <w:numPr>
          <w:ilvl w:val="0"/>
          <w:numId w:val="3"/>
        </w:numPr>
        <w:spacing w:after="60" w:line="260"/>
      </w:pPr>
      <w:r>
        <w:rPr>
          <w:rFonts w:ascii="Calibri" w:cs="Calibri" w:eastAsia="Calibri" w:hAnsi="Calibri"/>
          <w:sz w:val="20"/>
          <w:szCs w:val="20"/>
        </w:rPr>
        <w:t xml:space="preserve">Internationalisation EN, lancement antennes BE/CH.</w:t>
      </w:r>
    </w:p>
    <w:p>
      <w:pPr>
        <w:pStyle w:val="ListParagraph"/>
        <w:numPr>
          <w:ilvl w:val="0"/>
          <w:numId w:val="3"/>
        </w:numPr>
        <w:spacing w:after="60" w:line="260"/>
      </w:pPr>
      <w:r>
        <w:rPr>
          <w:rFonts w:ascii="Calibri" w:cs="Calibri" w:eastAsia="Calibri" w:hAnsi="Calibri"/>
          <w:sz w:val="20"/>
          <w:szCs w:val="20"/>
        </w:rPr>
        <w:t xml:space="preserve">Application mobile.</w:t>
      </w:r>
    </w:p>
    <w:p>
      <w:pPr>
        <w:pStyle w:val="ListParagraph"/>
        <w:numPr>
          <w:ilvl w:val="0"/>
          <w:numId w:val="3"/>
        </w:numPr>
        <w:spacing w:after="60" w:line="260"/>
      </w:pPr>
      <w:r>
        <w:rPr>
          <w:rFonts w:ascii="Calibri" w:cs="Calibri" w:eastAsia="Calibri" w:hAnsi="Calibri"/>
          <w:sz w:val="20"/>
          <w:szCs w:val="20"/>
        </w:rPr>
        <w:t xml:space="preserve">Atteinte ≥ 5 000 voyages, NPS ≥ + 70, rentabilité An 2.</w:t>
      </w:r>
    </w:p>
    <w:p>
      <w:pPr>
        <w:pStyle w:val="ListParagraph"/>
        <w:numPr>
          <w:ilvl w:val="0"/>
          <w:numId w:val="3"/>
        </w:numPr>
        <w:spacing w:after="60" w:line="260"/>
      </w:pPr>
      <w:r>
        <w:rPr>
          <w:rFonts w:ascii="Calibri" w:cs="Calibri" w:eastAsia="Calibri" w:hAnsi="Calibri"/>
          <w:sz w:val="20"/>
          <w:szCs w:val="20"/>
        </w:rPr>
        <w:t xml:space="preserve">Préparation Série A.</w:t>
      </w:r>
    </w:p>
    <w:p>
      <w:pPr>
        <w:spacing w:after="100" w:before="220"/>
      </w:pPr>
      <w:r>
        <w:rPr>
          <w:rFonts w:ascii="Calibri" w:cs="Calibri" w:eastAsia="Calibri" w:hAnsi="Calibri"/>
          <w:b/>
          <w:bCs/>
          <w:color w:val="E87722"/>
          <w:sz w:val="22"/>
          <w:szCs w:val="22"/>
        </w:rPr>
        <w:t xml:space="preserve">3.3. Phase 3 — Expansion européenne (An 3-4, 2028-2030)</w:t>
      </w:r>
    </w:p>
    <w:p>
      <w:pPr>
        <w:pStyle w:val="ListParagraph"/>
        <w:numPr>
          <w:ilvl w:val="0"/>
          <w:numId w:val="3"/>
        </w:numPr>
        <w:spacing w:after="60" w:line="260"/>
      </w:pPr>
      <w:r>
        <w:rPr>
          <w:rFonts w:ascii="Calibri" w:cs="Calibri" w:eastAsia="Calibri" w:hAnsi="Calibri"/>
          <w:sz w:val="20"/>
          <w:szCs w:val="20"/>
        </w:rPr>
        <w:t xml:space="preserve">Catalogue ≥ 50 voyages, multilingue 5 langues.</w:t>
      </w:r>
    </w:p>
    <w:p>
      <w:pPr>
        <w:pStyle w:val="ListParagraph"/>
        <w:numPr>
          <w:ilvl w:val="0"/>
          <w:numId w:val="3"/>
        </w:numPr>
        <w:spacing w:after="60" w:line="260"/>
      </w:pPr>
      <w:r>
        <w:rPr>
          <w:rFonts w:ascii="Calibri" w:cs="Calibri" w:eastAsia="Calibri" w:hAnsi="Calibri"/>
          <w:sz w:val="20"/>
          <w:szCs w:val="20"/>
        </w:rPr>
        <w:t xml:space="preserve">Marketplace ambassadeur structurée.</w:t>
      </w:r>
    </w:p>
    <w:p>
      <w:pPr>
        <w:pStyle w:val="ListParagraph"/>
        <w:numPr>
          <w:ilvl w:val="0"/>
          <w:numId w:val="3"/>
        </w:numPr>
        <w:spacing w:after="60" w:line="260"/>
      </w:pPr>
      <w:r>
        <w:rPr>
          <w:rFonts w:ascii="Calibri" w:cs="Calibri" w:eastAsia="Calibri" w:hAnsi="Calibri"/>
          <w:sz w:val="20"/>
          <w:szCs w:val="20"/>
        </w:rPr>
        <w:t xml:space="preserve">Présence Espagne, Italie, Portugal, Pays-Bas.</w:t>
      </w:r>
    </w:p>
    <w:p>
      <w:pPr>
        <w:pStyle w:val="ListParagraph"/>
        <w:numPr>
          <w:ilvl w:val="0"/>
          <w:numId w:val="3"/>
        </w:numPr>
        <w:spacing w:after="60" w:line="260"/>
      </w:pPr>
      <w:r>
        <w:rPr>
          <w:rFonts w:ascii="Calibri" w:cs="Calibri" w:eastAsia="Calibri" w:hAnsi="Calibri"/>
          <w:sz w:val="20"/>
          <w:szCs w:val="20"/>
        </w:rPr>
        <w:t xml:space="preserve">ISO 27001, audit RSE annuel certifié.</w:t>
      </w:r>
    </w:p>
    <w:p>
      <w:pPr>
        <w:pStyle w:val="ListParagraph"/>
        <w:numPr>
          <w:ilvl w:val="0"/>
          <w:numId w:val="3"/>
        </w:numPr>
        <w:spacing w:after="60" w:line="260"/>
      </w:pPr>
      <w:r>
        <w:rPr>
          <w:rFonts w:ascii="Calibri" w:cs="Calibri" w:eastAsia="Calibri" w:hAnsi="Calibri"/>
          <w:sz w:val="20"/>
          <w:szCs w:val="20"/>
        </w:rPr>
        <w:t xml:space="preserve">Levée Série A 5-15 M€.</w:t>
      </w:r>
    </w:p>
    <w:p>
      <w:pPr>
        <w:spacing w:after="100" w:before="220"/>
      </w:pPr>
      <w:r>
        <w:rPr>
          <w:rFonts w:ascii="Calibri" w:cs="Calibri" w:eastAsia="Calibri" w:hAnsi="Calibri"/>
          <w:b/>
          <w:bCs/>
          <w:color w:val="E87722"/>
          <w:sz w:val="22"/>
          <w:szCs w:val="22"/>
        </w:rPr>
        <w:t xml:space="preserve">3.4. Phase 4 — Maturité et leadership (An 5+, 2031+)</w:t>
      </w:r>
    </w:p>
    <w:p>
      <w:pPr>
        <w:pStyle w:val="ListParagraph"/>
        <w:numPr>
          <w:ilvl w:val="0"/>
          <w:numId w:val="3"/>
        </w:numPr>
        <w:spacing w:after="60" w:line="260"/>
      </w:pPr>
      <w:r>
        <w:rPr>
          <w:rFonts w:ascii="Calibri" w:cs="Calibri" w:eastAsia="Calibri" w:hAnsi="Calibri"/>
          <w:sz w:val="20"/>
          <w:szCs w:val="20"/>
        </w:rPr>
        <w:t xml:space="preserve">Référence tourisme français et européen.</w:t>
      </w:r>
    </w:p>
    <w:p>
      <w:pPr>
        <w:pStyle w:val="ListParagraph"/>
        <w:numPr>
          <w:ilvl w:val="0"/>
          <w:numId w:val="3"/>
        </w:numPr>
        <w:spacing w:after="60" w:line="260"/>
      </w:pPr>
      <w:r>
        <w:rPr>
          <w:rFonts w:ascii="Calibri" w:cs="Calibri" w:eastAsia="Calibri" w:hAnsi="Calibri"/>
          <w:sz w:val="20"/>
          <w:szCs w:val="20"/>
        </w:rPr>
        <w:t xml:space="preserve">Présence ≥ 10 pays.</w:t>
      </w:r>
    </w:p>
    <w:p>
      <w:pPr>
        <w:pStyle w:val="ListParagraph"/>
        <w:numPr>
          <w:ilvl w:val="0"/>
          <w:numId w:val="3"/>
        </w:numPr>
        <w:spacing w:after="60" w:line="260"/>
      </w:pPr>
      <w:r>
        <w:rPr>
          <w:rFonts w:ascii="Calibri" w:cs="Calibri" w:eastAsia="Calibri" w:hAnsi="Calibri"/>
          <w:sz w:val="20"/>
          <w:szCs w:val="20"/>
        </w:rPr>
        <w:t xml:space="preserve">Voix d'autorité sectorielle (transparence prix, surtourisme).</w:t>
      </w:r>
    </w:p>
    <w:p>
      <w:pPr>
        <w:pStyle w:val="ListParagraph"/>
        <w:numPr>
          <w:ilvl w:val="0"/>
          <w:numId w:val="3"/>
        </w:numPr>
        <w:spacing w:after="60" w:line="260"/>
      </w:pPr>
      <w:r>
        <w:rPr>
          <w:rFonts w:ascii="Calibri" w:cs="Calibri" w:eastAsia="Calibri" w:hAnsi="Calibri"/>
          <w:sz w:val="20"/>
          <w:szCs w:val="20"/>
        </w:rPr>
        <w:t xml:space="preserve">Profitabilité durable, possibilité de redistribution voyageurs.</w:t>
      </w:r>
    </w:p>
    <w:p>
      <w:pPr>
        <w:spacing w:after="160" w:before="240"/>
      </w:pPr>
      <w:r>
        <w:rPr>
          <w:rFonts w:ascii="Calibri" w:cs="Calibri" w:eastAsia="Calibri" w:hAnsi="Calibri"/>
          <w:b/>
          <w:bCs/>
          <w:color w:val="1F4E79"/>
          <w:sz w:val="32"/>
          <w:szCs w:val="32"/>
        </w:rPr>
        <w:t xml:space="preserve">4. Six axes stratégiques transversaux</w:t>
      </w:r>
    </w:p>
    <w:p>
      <w:pPr>
        <w:spacing w:after="100" w:before="220"/>
      </w:pPr>
      <w:r>
        <w:rPr>
          <w:rFonts w:ascii="Calibri" w:cs="Calibri" w:eastAsia="Calibri" w:hAnsi="Calibri"/>
          <w:b/>
          <w:bCs/>
          <w:color w:val="E87722"/>
          <w:sz w:val="22"/>
          <w:szCs w:val="22"/>
        </w:rPr>
        <w:t xml:space="preserve">4.1. Axe 1 — Excellence opérationnelle</w:t>
      </w:r>
    </w:p>
    <w:p>
      <w:pPr>
        <w:pStyle w:val="ListParagraph"/>
        <w:numPr>
          <w:ilvl w:val="0"/>
          <w:numId w:val="3"/>
        </w:numPr>
        <w:spacing w:after="60" w:line="260"/>
      </w:pPr>
      <w:r>
        <w:rPr>
          <w:rFonts w:ascii="Calibri" w:cs="Calibri" w:eastAsia="Calibri" w:hAnsi="Calibri"/>
          <w:sz w:val="20"/>
          <w:szCs w:val="20"/>
        </w:rPr>
        <w:t xml:space="preserve">NPS ≥ + 75 An 5 (cohérence Procédure de réclamation détaillée).</w:t>
      </w:r>
    </w:p>
    <w:p>
      <w:pPr>
        <w:pStyle w:val="ListParagraph"/>
        <w:numPr>
          <w:ilvl w:val="0"/>
          <w:numId w:val="3"/>
        </w:numPr>
        <w:spacing w:after="60" w:line="260"/>
      </w:pPr>
      <w:r>
        <w:rPr>
          <w:rFonts w:ascii="Calibri" w:cs="Calibri" w:eastAsia="Calibri" w:hAnsi="Calibri"/>
          <w:sz w:val="20"/>
          <w:szCs w:val="20"/>
        </w:rPr>
        <w:t xml:space="preserve">Audit qualité HRA continu (cohérence Procédure d'audit qualité HRA).</w:t>
      </w:r>
    </w:p>
    <w:p>
      <w:pPr>
        <w:pStyle w:val="ListParagraph"/>
        <w:numPr>
          <w:ilvl w:val="0"/>
          <w:numId w:val="3"/>
        </w:numPr>
        <w:spacing w:after="60" w:line="260"/>
      </w:pPr>
      <w:r>
        <w:rPr>
          <w:rFonts w:ascii="Calibri" w:cs="Calibri" w:eastAsia="Calibri" w:hAnsi="Calibri"/>
          <w:sz w:val="20"/>
          <w:szCs w:val="20"/>
        </w:rPr>
        <w:t xml:space="preserve">0 incident N3-N4 en cybersécurité (cohérence Politique cybersécurité).</w:t>
      </w:r>
    </w:p>
    <w:p>
      <w:pPr>
        <w:pStyle w:val="ListParagraph"/>
        <w:numPr>
          <w:ilvl w:val="0"/>
          <w:numId w:val="3"/>
        </w:numPr>
        <w:spacing w:after="60" w:line="260"/>
      </w:pPr>
      <w:r>
        <w:rPr>
          <w:rFonts w:ascii="Calibri" w:cs="Calibri" w:eastAsia="Calibri" w:hAnsi="Calibri"/>
          <w:sz w:val="20"/>
          <w:szCs w:val="20"/>
        </w:rPr>
        <w:t xml:space="preserve">Délai résolution réclamation ≤ 7 j An 5.</w:t>
      </w:r>
    </w:p>
    <w:p>
      <w:pPr>
        <w:spacing w:after="100" w:before="220"/>
      </w:pPr>
      <w:r>
        <w:rPr>
          <w:rFonts w:ascii="Calibri" w:cs="Calibri" w:eastAsia="Calibri" w:hAnsi="Calibri"/>
          <w:b/>
          <w:bCs/>
          <w:color w:val="E87722"/>
          <w:sz w:val="22"/>
          <w:szCs w:val="22"/>
        </w:rPr>
        <w:t xml:space="preserve">4.2. Axe 2 — Transparence radicale</w:t>
      </w:r>
    </w:p>
    <w:p>
      <w:pPr>
        <w:pStyle w:val="ListParagraph"/>
        <w:numPr>
          <w:ilvl w:val="0"/>
          <w:numId w:val="3"/>
        </w:numPr>
        <w:spacing w:after="60" w:line="260"/>
      </w:pPr>
      <w:r>
        <w:rPr>
          <w:rFonts w:ascii="Calibri" w:cs="Calibri" w:eastAsia="Calibri" w:hAnsi="Calibri"/>
          <w:sz w:val="20"/>
          <w:szCs w:val="20"/>
        </w:rPr>
        <w:t xml:space="preserve">Décomposition prix sur fiche voyage (chaque euro tracé).</w:t>
      </w:r>
    </w:p>
    <w:p>
      <w:pPr>
        <w:pStyle w:val="ListParagraph"/>
        <w:numPr>
          <w:ilvl w:val="0"/>
          <w:numId w:val="3"/>
        </w:numPr>
        <w:spacing w:after="60" w:line="260"/>
      </w:pPr>
      <w:r>
        <w:rPr>
          <w:rFonts w:ascii="Calibri" w:cs="Calibri" w:eastAsia="Calibri" w:hAnsi="Calibri"/>
          <w:sz w:val="20"/>
          <w:szCs w:val="20"/>
        </w:rPr>
        <w:t xml:space="preserve">Bilan Carbone annuel public (cohérence Charte engagement carbone).</w:t>
      </w:r>
    </w:p>
    <w:p>
      <w:pPr>
        <w:pStyle w:val="ListParagraph"/>
        <w:numPr>
          <w:ilvl w:val="0"/>
          <w:numId w:val="3"/>
        </w:numPr>
        <w:spacing w:after="60" w:line="260"/>
      </w:pPr>
      <w:r>
        <w:rPr>
          <w:rFonts w:ascii="Calibri" w:cs="Calibri" w:eastAsia="Calibri" w:hAnsi="Calibri"/>
          <w:sz w:val="20"/>
          <w:szCs w:val="20"/>
        </w:rPr>
        <w:t xml:space="preserve">Reporting RSE intégré (cible CSRD si seuils atteints An 4-5).</w:t>
      </w:r>
    </w:p>
    <w:p>
      <w:pPr>
        <w:pStyle w:val="ListParagraph"/>
        <w:numPr>
          <w:ilvl w:val="0"/>
          <w:numId w:val="3"/>
        </w:numPr>
        <w:spacing w:after="60" w:line="260"/>
      </w:pPr>
      <w:r>
        <w:rPr>
          <w:rFonts w:ascii="Calibri" w:cs="Calibri" w:eastAsia="Calibri" w:hAnsi="Calibri"/>
          <w:sz w:val="20"/>
          <w:szCs w:val="20"/>
        </w:rPr>
        <w:t xml:space="preserve">Glossaire et documentation publique (cohérence Glossaire voyage, ce dispositif).</w:t>
      </w:r>
    </w:p>
    <w:p>
      <w:pPr>
        <w:spacing w:after="100" w:before="220"/>
      </w:pPr>
      <w:r>
        <w:rPr>
          <w:rFonts w:ascii="Calibri" w:cs="Calibri" w:eastAsia="Calibri" w:hAnsi="Calibri"/>
          <w:b/>
          <w:bCs/>
          <w:color w:val="E87722"/>
          <w:sz w:val="22"/>
          <w:szCs w:val="22"/>
        </w:rPr>
        <w:t xml:space="preserve">4.3. Axe 3 — Économie redistributive</w:t>
      </w:r>
    </w:p>
    <w:p>
      <w:pPr>
        <w:pStyle w:val="ListParagraph"/>
        <w:numPr>
          <w:ilvl w:val="0"/>
          <w:numId w:val="3"/>
        </w:numPr>
        <w:spacing w:after="60" w:line="260"/>
      </w:pPr>
      <w:r>
        <w:rPr>
          <w:rFonts w:ascii="Calibri" w:cs="Calibri" w:eastAsia="Calibri" w:hAnsi="Calibri"/>
          <w:sz w:val="20"/>
          <w:szCs w:val="20"/>
        </w:rPr>
        <w:t xml:space="preserve">Modèle 5 % HT vendeurs + 3 pts créateurs sur HRA (cohérence Contrats partenaires).</w:t>
      </w:r>
    </w:p>
    <w:p>
      <w:pPr>
        <w:pStyle w:val="ListParagraph"/>
        <w:numPr>
          <w:ilvl w:val="0"/>
          <w:numId w:val="3"/>
        </w:numPr>
        <w:spacing w:after="60" w:line="260"/>
      </w:pPr>
      <w:r>
        <w:rPr>
          <w:rFonts w:ascii="Calibri" w:cs="Calibri" w:eastAsia="Calibri" w:hAnsi="Calibri"/>
          <w:sz w:val="20"/>
          <w:szCs w:val="20"/>
        </w:rPr>
        <w:t xml:space="preserve">Marges socle Eventy raisonnables (10-14 %).</w:t>
      </w:r>
    </w:p>
    <w:p>
      <w:pPr>
        <w:pStyle w:val="ListParagraph"/>
        <w:numPr>
          <w:ilvl w:val="0"/>
          <w:numId w:val="3"/>
        </w:numPr>
        <w:spacing w:after="60" w:line="260"/>
      </w:pPr>
      <w:r>
        <w:rPr>
          <w:rFonts w:ascii="Calibri" w:cs="Calibri" w:eastAsia="Calibri" w:hAnsi="Calibri"/>
          <w:sz w:val="20"/>
          <w:szCs w:val="20"/>
        </w:rPr>
        <w:t xml:space="preserve">Paiement 30 j fin de mois fournisseurs (cohérence Politique d'achats responsables).</w:t>
      </w:r>
    </w:p>
    <w:p>
      <w:pPr>
        <w:pStyle w:val="ListParagraph"/>
        <w:numPr>
          <w:ilvl w:val="0"/>
          <w:numId w:val="3"/>
        </w:numPr>
        <w:spacing w:after="60" w:line="260"/>
      </w:pPr>
      <w:r>
        <w:rPr>
          <w:rFonts w:ascii="Calibri" w:cs="Calibri" w:eastAsia="Calibri" w:hAnsi="Calibri"/>
          <w:sz w:val="20"/>
          <w:szCs w:val="20"/>
        </w:rPr>
        <w:t xml:space="preserve">Parité salariale équipe (rapport max/min ≤ 5).</w:t>
      </w:r>
    </w:p>
    <w:p>
      <w:pPr>
        <w:spacing w:after="100" w:before="220"/>
      </w:pPr>
      <w:r>
        <w:rPr>
          <w:rFonts w:ascii="Calibri" w:cs="Calibri" w:eastAsia="Calibri" w:hAnsi="Calibri"/>
          <w:b/>
          <w:bCs/>
          <w:color w:val="E87722"/>
          <w:sz w:val="22"/>
          <w:szCs w:val="22"/>
        </w:rPr>
        <w:t xml:space="preserve">4.4. Axe 4 — Souveraineté numérique</w:t>
      </w:r>
    </w:p>
    <w:p>
      <w:pPr>
        <w:pStyle w:val="ListParagraph"/>
        <w:numPr>
          <w:ilvl w:val="0"/>
          <w:numId w:val="3"/>
        </w:numPr>
        <w:spacing w:after="60" w:line="260"/>
      </w:pPr>
      <w:r>
        <w:rPr>
          <w:rFonts w:ascii="Calibri" w:cs="Calibri" w:eastAsia="Calibri" w:hAnsi="Calibri"/>
          <w:sz w:val="20"/>
          <w:szCs w:val="20"/>
        </w:rPr>
        <w:t xml:space="preserve">Hébergement France (Scaleway).</w:t>
      </w:r>
    </w:p>
    <w:p>
      <w:pPr>
        <w:pStyle w:val="ListParagraph"/>
        <w:numPr>
          <w:ilvl w:val="0"/>
          <w:numId w:val="3"/>
        </w:numPr>
        <w:spacing w:after="60" w:line="260"/>
      </w:pPr>
      <w:r>
        <w:rPr>
          <w:rFonts w:ascii="Calibri" w:cs="Calibri" w:eastAsia="Calibri" w:hAnsi="Calibri"/>
          <w:sz w:val="20"/>
          <w:szCs w:val="20"/>
        </w:rPr>
        <w:t xml:space="preserve">Plateforme propriétaire (refus dépendance grands acteurs).</w:t>
      </w:r>
    </w:p>
    <w:p>
      <w:pPr>
        <w:pStyle w:val="ListParagraph"/>
        <w:numPr>
          <w:ilvl w:val="0"/>
          <w:numId w:val="3"/>
        </w:numPr>
        <w:spacing w:after="60" w:line="260"/>
      </w:pPr>
      <w:r>
        <w:rPr>
          <w:rFonts w:ascii="Calibri" w:cs="Calibri" w:eastAsia="Calibri" w:hAnsi="Calibri"/>
          <w:sz w:val="20"/>
          <w:szCs w:val="20"/>
        </w:rPr>
        <w:t xml:space="preserve">Contribution open source (cohérence Roadmap technique).</w:t>
      </w:r>
    </w:p>
    <w:p>
      <w:pPr>
        <w:pStyle w:val="ListParagraph"/>
        <w:numPr>
          <w:ilvl w:val="0"/>
          <w:numId w:val="3"/>
        </w:numPr>
        <w:spacing w:after="60" w:line="260"/>
      </w:pPr>
      <w:r>
        <w:rPr>
          <w:rFonts w:ascii="Calibri" w:cs="Calibri" w:eastAsia="Calibri" w:hAnsi="Calibri"/>
          <w:sz w:val="20"/>
          <w:szCs w:val="20"/>
        </w:rPr>
        <w:t xml:space="preserve">Refus du tout-IA / tout-blockchain extractif.</w:t>
      </w:r>
    </w:p>
    <w:p>
      <w:pPr>
        <w:spacing w:after="100" w:before="220"/>
      </w:pPr>
      <w:r>
        <w:rPr>
          <w:rFonts w:ascii="Calibri" w:cs="Calibri" w:eastAsia="Calibri" w:hAnsi="Calibri"/>
          <w:b/>
          <w:bCs/>
          <w:color w:val="E87722"/>
          <w:sz w:val="22"/>
          <w:szCs w:val="22"/>
        </w:rPr>
        <w:t xml:space="preserve">4.5. Axe 5 — Engagement RSE chiffré</w:t>
      </w:r>
    </w:p>
    <w:p>
      <w:pPr>
        <w:pStyle w:val="ListParagraph"/>
        <w:numPr>
          <w:ilvl w:val="0"/>
          <w:numId w:val="3"/>
        </w:numPr>
        <w:spacing w:after="60" w:line="260"/>
      </w:pPr>
      <w:r>
        <w:rPr>
          <w:rFonts w:ascii="Calibri" w:cs="Calibri" w:eastAsia="Calibri" w:hAnsi="Calibri"/>
          <w:sz w:val="20"/>
          <w:szCs w:val="20"/>
        </w:rPr>
        <w:t xml:space="preserve">Réduction émissions CO2eq −30 % par voyageur d'ici An 5.</w:t>
      </w:r>
    </w:p>
    <w:p>
      <w:pPr>
        <w:pStyle w:val="ListParagraph"/>
        <w:numPr>
          <w:ilvl w:val="0"/>
          <w:numId w:val="3"/>
        </w:numPr>
        <w:spacing w:after="60" w:line="260"/>
      </w:pPr>
      <w:r>
        <w:rPr>
          <w:rFonts w:ascii="Calibri" w:cs="Calibri" w:eastAsia="Calibri" w:hAnsi="Calibri"/>
          <w:sz w:val="20"/>
          <w:szCs w:val="20"/>
        </w:rPr>
        <w:t xml:space="preserve">≥ 95 % achats France/Europe An 5.</w:t>
      </w:r>
    </w:p>
    <w:p>
      <w:pPr>
        <w:pStyle w:val="ListParagraph"/>
        <w:numPr>
          <w:ilvl w:val="0"/>
          <w:numId w:val="3"/>
        </w:numPr>
        <w:spacing w:after="60" w:line="260"/>
      </w:pPr>
      <w:r>
        <w:rPr>
          <w:rFonts w:ascii="Calibri" w:cs="Calibri" w:eastAsia="Calibri" w:hAnsi="Calibri"/>
          <w:sz w:val="20"/>
          <w:szCs w:val="20"/>
        </w:rPr>
        <w:t xml:space="preserve">≥ 90 % voyages bas-carbone An 5 (autocar + train).</w:t>
      </w:r>
    </w:p>
    <w:p>
      <w:pPr>
        <w:pStyle w:val="ListParagraph"/>
        <w:numPr>
          <w:ilvl w:val="0"/>
          <w:numId w:val="3"/>
        </w:numPr>
        <w:spacing w:after="60" w:line="260"/>
      </w:pPr>
      <w:r>
        <w:rPr>
          <w:rFonts w:ascii="Calibri" w:cs="Calibri" w:eastAsia="Calibri" w:hAnsi="Calibri"/>
          <w:sz w:val="20"/>
          <w:szCs w:val="20"/>
        </w:rPr>
        <w:t xml:space="preserve">Label Tourisme et Handicap obtenu, cible B Corp An 4.</w:t>
      </w:r>
    </w:p>
    <w:p>
      <w:pPr>
        <w:spacing w:after="100" w:before="220"/>
      </w:pPr>
      <w:r>
        <w:rPr>
          <w:rFonts w:ascii="Calibri" w:cs="Calibri" w:eastAsia="Calibri" w:hAnsi="Calibri"/>
          <w:b/>
          <w:bCs/>
          <w:color w:val="E87722"/>
          <w:sz w:val="22"/>
          <w:szCs w:val="22"/>
        </w:rPr>
        <w:t xml:space="preserve">4.6. Axe 6 — Communauté et chaleur humaine</w:t>
      </w:r>
    </w:p>
    <w:p>
      <w:pPr>
        <w:pStyle w:val="ListParagraph"/>
        <w:numPr>
          <w:ilvl w:val="0"/>
          <w:numId w:val="3"/>
        </w:numPr>
        <w:spacing w:after="60" w:line="260"/>
      </w:pPr>
      <w:r>
        <w:rPr>
          <w:rFonts w:ascii="Calibri" w:cs="Calibri" w:eastAsia="Calibri" w:hAnsi="Calibri"/>
          <w:sz w:val="20"/>
          <w:szCs w:val="20"/>
        </w:rPr>
        <w:t xml:space="preserve">Programme Eventy Famille à vie (cohérence Programme de fidélisation).</w:t>
      </w:r>
    </w:p>
    <w:p>
      <w:pPr>
        <w:pStyle w:val="ListParagraph"/>
        <w:numPr>
          <w:ilvl w:val="0"/>
          <w:numId w:val="3"/>
        </w:numPr>
        <w:spacing w:after="60" w:line="260"/>
      </w:pPr>
      <w:r>
        <w:rPr>
          <w:rFonts w:ascii="Calibri" w:cs="Calibri" w:eastAsia="Calibri" w:hAnsi="Calibri"/>
          <w:sz w:val="20"/>
          <w:szCs w:val="20"/>
        </w:rPr>
        <w:t xml:space="preserve">Anniversaire Eventy annuel signature (cohérence Plan d'événements).</w:t>
      </w:r>
    </w:p>
    <w:p>
      <w:pPr>
        <w:pStyle w:val="ListParagraph"/>
        <w:numPr>
          <w:ilvl w:val="0"/>
          <w:numId w:val="3"/>
        </w:numPr>
        <w:spacing w:after="60" w:line="260"/>
      </w:pPr>
      <w:r>
        <w:rPr>
          <w:rFonts w:ascii="Calibri" w:cs="Calibri" w:eastAsia="Calibri" w:hAnsi="Calibri"/>
          <w:sz w:val="20"/>
          <w:szCs w:val="20"/>
        </w:rPr>
        <w:t xml:space="preserve">Apéros trimestriels Paris + province.</w:t>
      </w:r>
    </w:p>
    <w:p>
      <w:pPr>
        <w:pStyle w:val="ListParagraph"/>
        <w:numPr>
          <w:ilvl w:val="0"/>
          <w:numId w:val="3"/>
        </w:numPr>
        <w:spacing w:after="60" w:line="260"/>
      </w:pPr>
      <w:r>
        <w:rPr>
          <w:rFonts w:ascii="Calibri" w:cs="Calibri" w:eastAsia="Calibri" w:hAnsi="Calibri"/>
          <w:sz w:val="20"/>
          <w:szCs w:val="20"/>
        </w:rPr>
        <w:t xml:space="preserve">Refus de la marchandisation extractive de la communauté.</w:t>
      </w:r>
    </w:p>
    <w:p>
      <w:pPr>
        <w:spacing w:after="160" w:before="240"/>
      </w:pPr>
      <w:r>
        <w:rPr>
          <w:rFonts w:ascii="Calibri" w:cs="Calibri" w:eastAsia="Calibri" w:hAnsi="Calibri"/>
          <w:b/>
          <w:bCs/>
          <w:color w:val="1F4E79"/>
          <w:sz w:val="32"/>
          <w:szCs w:val="32"/>
        </w:rPr>
        <w:t xml:space="preserve">5. Risques majeurs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Risque</w:t>
            </w:r>
          </w:p>
        </w:tc>
        <w:tc>
          <w:tcPr>
            <w:tcW w:type="dxa" w:w="561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Concentration excessive sur Président (founder-led)</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Plan de succession dirigeant (cohérence)</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Réglementaire (durcissement Code tourisme, RGPD)</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Veille trimestrielle, conseils externes</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Cyber (attaque, fuite données)</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Politique cybersécurité, RC cyber, ISO 27001 An 3</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Économique (récession, baisse demande tourisme)</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Diversification offres, BFR maîtrisé, fonds de réserve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Réputationnel (incident voyage majeur)</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Pack Sérénité, Procédure crise comm, Manuel incident</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Opérationnel (défaillance HRA stratégique)</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Diversification HRA, audit annuel, contrats backup</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Concurrentiel (entrée de gros acteurs)</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Cohérence valeurs (transparence, redistribution), agilité</w:t>
            </w:r>
          </w:p>
        </w:tc>
      </w:tr>
    </w:tbl>
    <w:p>
      <w:pPr>
        <w:spacing w:after="160" w:before="240"/>
      </w:pPr>
      <w:r>
        <w:rPr>
          <w:rFonts w:ascii="Calibri" w:cs="Calibri" w:eastAsia="Calibri" w:hAnsi="Calibri"/>
          <w:b/>
          <w:bCs/>
          <w:color w:val="1F4E79"/>
          <w:sz w:val="32"/>
          <w:szCs w:val="32"/>
        </w:rPr>
        <w:t xml:space="preserve">6. Levée de fonds</w:t>
      </w:r>
    </w:p>
    <w:p>
      <w:pPr>
        <w:spacing w:after="100" w:before="220"/>
      </w:pPr>
      <w:r>
        <w:rPr>
          <w:rFonts w:ascii="Calibri" w:cs="Calibri" w:eastAsia="Calibri" w:hAnsi="Calibri"/>
          <w:b/>
          <w:bCs/>
          <w:color w:val="E87722"/>
          <w:sz w:val="22"/>
          <w:szCs w:val="22"/>
        </w:rPr>
        <w:t xml:space="preserve">6.1. Calendrier</w:t>
      </w:r>
    </w:p>
    <w:p>
      <w:pPr>
        <w:pStyle w:val="ListParagraph"/>
        <w:numPr>
          <w:ilvl w:val="0"/>
          <w:numId w:val="3"/>
        </w:numPr>
        <w:spacing w:after="60" w:line="260"/>
      </w:pPr>
      <w:r>
        <w:rPr>
          <w:rFonts w:ascii="Calibri" w:cs="Calibri" w:eastAsia="Calibri" w:hAnsi="Calibri"/>
          <w:sz w:val="20"/>
          <w:szCs w:val="20"/>
        </w:rPr>
        <w:t xml:space="preserve">Seed (T3-T4 An 1) : 200-300 K€ (cohérence Term Sheet Seed).</w:t>
      </w:r>
    </w:p>
    <w:p>
      <w:pPr>
        <w:pStyle w:val="ListParagraph"/>
        <w:numPr>
          <w:ilvl w:val="0"/>
          <w:numId w:val="3"/>
        </w:numPr>
        <w:spacing w:after="60" w:line="260"/>
      </w:pPr>
      <w:r>
        <w:rPr>
          <w:rFonts w:ascii="Calibri" w:cs="Calibri" w:eastAsia="Calibri" w:hAnsi="Calibri"/>
          <w:sz w:val="20"/>
          <w:szCs w:val="20"/>
        </w:rPr>
        <w:t xml:space="preserve">Pré-Série A (An 2) : 1-2 M€.</w:t>
      </w:r>
    </w:p>
    <w:p>
      <w:pPr>
        <w:pStyle w:val="ListParagraph"/>
        <w:numPr>
          <w:ilvl w:val="0"/>
          <w:numId w:val="3"/>
        </w:numPr>
        <w:spacing w:after="60" w:line="260"/>
      </w:pPr>
      <w:r>
        <w:rPr>
          <w:rFonts w:ascii="Calibri" w:cs="Calibri" w:eastAsia="Calibri" w:hAnsi="Calibri"/>
          <w:sz w:val="20"/>
          <w:szCs w:val="20"/>
        </w:rPr>
        <w:t xml:space="preserve">Série A (An 3) : 5-15 M€.</w:t>
      </w:r>
    </w:p>
    <w:p>
      <w:pPr>
        <w:pStyle w:val="ListParagraph"/>
        <w:numPr>
          <w:ilvl w:val="0"/>
          <w:numId w:val="3"/>
        </w:numPr>
        <w:spacing w:after="60" w:line="260"/>
      </w:pPr>
      <w:r>
        <w:rPr>
          <w:rFonts w:ascii="Calibri" w:cs="Calibri" w:eastAsia="Calibri" w:hAnsi="Calibri"/>
          <w:sz w:val="20"/>
          <w:szCs w:val="20"/>
        </w:rPr>
        <w:t xml:space="preserve">Série B (An 5+) : si croissance internationale forte.</w:t>
      </w:r>
    </w:p>
    <w:p>
      <w:pPr>
        <w:spacing w:after="100" w:before="220"/>
      </w:pPr>
      <w:r>
        <w:rPr>
          <w:rFonts w:ascii="Calibri" w:cs="Calibri" w:eastAsia="Calibri" w:hAnsi="Calibri"/>
          <w:b/>
          <w:bCs/>
          <w:color w:val="E87722"/>
          <w:sz w:val="22"/>
          <w:szCs w:val="22"/>
        </w:rPr>
        <w:t xml:space="preserve">6.2. Critères investisseurs</w:t>
      </w:r>
    </w:p>
    <w:p>
      <w:pPr>
        <w:pStyle w:val="ListParagraph"/>
        <w:numPr>
          <w:ilvl w:val="0"/>
          <w:numId w:val="3"/>
        </w:numPr>
        <w:spacing w:after="60" w:line="260"/>
      </w:pPr>
      <w:r>
        <w:rPr>
          <w:rFonts w:ascii="Calibri" w:cs="Calibri" w:eastAsia="Calibri" w:hAnsi="Calibri"/>
          <w:sz w:val="20"/>
          <w:szCs w:val="20"/>
        </w:rPr>
        <w:t xml:space="preserve">Alignement avec valeurs Eventy (refus extractif).</w:t>
      </w:r>
    </w:p>
    <w:p>
      <w:pPr>
        <w:pStyle w:val="ListParagraph"/>
        <w:numPr>
          <w:ilvl w:val="0"/>
          <w:numId w:val="3"/>
        </w:numPr>
        <w:spacing w:after="60" w:line="260"/>
      </w:pPr>
      <w:r>
        <w:rPr>
          <w:rFonts w:ascii="Calibri" w:cs="Calibri" w:eastAsia="Calibri" w:hAnsi="Calibri"/>
          <w:sz w:val="20"/>
          <w:szCs w:val="20"/>
        </w:rPr>
        <w:t xml:space="preserve">Solidité financière et capacité d'accompagnement.</w:t>
      </w:r>
    </w:p>
    <w:p>
      <w:pPr>
        <w:pStyle w:val="ListParagraph"/>
        <w:numPr>
          <w:ilvl w:val="0"/>
          <w:numId w:val="3"/>
        </w:numPr>
        <w:spacing w:after="60" w:line="260"/>
      </w:pPr>
      <w:r>
        <w:rPr>
          <w:rFonts w:ascii="Calibri" w:cs="Calibri" w:eastAsia="Calibri" w:hAnsi="Calibri"/>
          <w:sz w:val="20"/>
          <w:szCs w:val="20"/>
        </w:rPr>
        <w:t xml:space="preserve">Réseau européen (pour expansion).</w:t>
      </w:r>
    </w:p>
    <w:p>
      <w:pPr>
        <w:pStyle w:val="ListParagraph"/>
        <w:numPr>
          <w:ilvl w:val="0"/>
          <w:numId w:val="3"/>
        </w:numPr>
        <w:spacing w:after="60" w:line="260"/>
      </w:pPr>
      <w:r>
        <w:rPr>
          <w:rFonts w:ascii="Calibri" w:cs="Calibri" w:eastAsia="Calibri" w:hAnsi="Calibri"/>
          <w:sz w:val="20"/>
          <w:szCs w:val="20"/>
        </w:rPr>
        <w:t xml:space="preserve">Engagement RSE structuré.</w:t>
      </w:r>
    </w:p>
    <w:p>
      <w:pPr>
        <w:pStyle w:val="ListParagraph"/>
        <w:numPr>
          <w:ilvl w:val="0"/>
          <w:numId w:val="3"/>
        </w:numPr>
        <w:spacing w:after="60" w:line="260"/>
      </w:pPr>
      <w:r>
        <w:rPr>
          <w:rFonts w:ascii="Calibri" w:cs="Calibri" w:eastAsia="Calibri" w:hAnsi="Calibri"/>
          <w:sz w:val="20"/>
          <w:szCs w:val="20"/>
        </w:rPr>
        <w:t xml:space="preserve">Refus d'investisseurs en conflit de valeurs.</w:t>
      </w:r>
    </w:p>
    <w:p>
      <w:pPr>
        <w:spacing w:after="160" w:before="240"/>
      </w:pPr>
      <w:r>
        <w:rPr>
          <w:rFonts w:ascii="Calibri" w:cs="Calibri" w:eastAsia="Calibri" w:hAnsi="Calibri"/>
          <w:b/>
          <w:bCs/>
          <w:color w:val="1F4E79"/>
          <w:sz w:val="32"/>
          <w:szCs w:val="32"/>
        </w:rPr>
        <w:t xml:space="preserve">7. Gouvernance du plan stratégique</w:t>
      </w:r>
    </w:p>
    <w:p>
      <w:pPr>
        <w:pStyle w:val="ListParagraph"/>
        <w:numPr>
          <w:ilvl w:val="0"/>
          <w:numId w:val="3"/>
        </w:numPr>
        <w:spacing w:after="60" w:line="260"/>
      </w:pPr>
      <w:r>
        <w:rPr>
          <w:rFonts w:ascii="Calibri" w:cs="Calibri" w:eastAsia="Calibri" w:hAnsi="Calibri"/>
          <w:sz w:val="20"/>
          <w:szCs w:val="20"/>
        </w:rPr>
        <w:t xml:space="preserve">Validation initiale par associés (assemblée extraordinaire).</w:t>
      </w:r>
    </w:p>
    <w:p>
      <w:pPr>
        <w:pStyle w:val="ListParagraph"/>
        <w:numPr>
          <w:ilvl w:val="0"/>
          <w:numId w:val="3"/>
        </w:numPr>
        <w:spacing w:after="60" w:line="260"/>
      </w:pPr>
      <w:r>
        <w:rPr>
          <w:rFonts w:ascii="Calibri" w:cs="Calibri" w:eastAsia="Calibri" w:hAnsi="Calibri"/>
          <w:sz w:val="20"/>
          <w:szCs w:val="20"/>
        </w:rPr>
        <w:t xml:space="preserve">Revue annuelle T1 (cohérence Tableau de bord opérationnel).</w:t>
      </w:r>
    </w:p>
    <w:p>
      <w:pPr>
        <w:pStyle w:val="ListParagraph"/>
        <w:numPr>
          <w:ilvl w:val="0"/>
          <w:numId w:val="3"/>
        </w:numPr>
        <w:spacing w:after="60" w:line="260"/>
      </w:pPr>
      <w:r>
        <w:rPr>
          <w:rFonts w:ascii="Calibri" w:cs="Calibri" w:eastAsia="Calibri" w:hAnsi="Calibri"/>
          <w:sz w:val="20"/>
          <w:szCs w:val="20"/>
        </w:rPr>
        <w:t xml:space="preserve">Révision majeure tous les 2-3 ans.</w:t>
      </w:r>
    </w:p>
    <w:p>
      <w:pPr>
        <w:pStyle w:val="ListParagraph"/>
        <w:numPr>
          <w:ilvl w:val="0"/>
          <w:numId w:val="3"/>
        </w:numPr>
        <w:spacing w:after="60" w:line="260"/>
      </w:pPr>
      <w:r>
        <w:rPr>
          <w:rFonts w:ascii="Calibri" w:cs="Calibri" w:eastAsia="Calibri" w:hAnsi="Calibri"/>
          <w:sz w:val="20"/>
          <w:szCs w:val="20"/>
        </w:rPr>
        <w:t xml:space="preserve">Reporting trimestriel investisseurs sur l'avancement.</w:t>
      </w:r>
    </w:p>
    <w:p>
      <w:pPr>
        <w:pStyle w:val="ListParagraph"/>
        <w:numPr>
          <w:ilvl w:val="0"/>
          <w:numId w:val="3"/>
        </w:numPr>
        <w:spacing w:after="60" w:line="260"/>
      </w:pPr>
      <w:r>
        <w:rPr>
          <w:rFonts w:ascii="Calibri" w:cs="Calibri" w:eastAsia="Calibri" w:hAnsi="Calibri"/>
          <w:sz w:val="20"/>
          <w:szCs w:val="20"/>
        </w:rPr>
        <w:t xml:space="preserve">Comité stratégique trimestriel (Président + investisseurs Lead).</w:t>
      </w:r>
    </w:p>
    <w:p>
      <w:pPr>
        <w:spacing w:after="160" w:before="240"/>
      </w:pPr>
      <w:r>
        <w:rPr>
          <w:rFonts w:ascii="Calibri" w:cs="Calibri" w:eastAsia="Calibri" w:hAnsi="Calibri"/>
          <w:b/>
          <w:bCs/>
          <w:color w:val="1F4E79"/>
          <w:sz w:val="32"/>
          <w:szCs w:val="32"/>
        </w:rPr>
        <w:t xml:space="preserve">8. Engagements stratégiques opposables</w:t>
      </w:r>
    </w:p>
    <w:p>
      <w:pPr>
        <w:pStyle w:val="ListParagraph"/>
        <w:numPr>
          <w:ilvl w:val="0"/>
          <w:numId w:val="3"/>
        </w:numPr>
        <w:spacing w:after="60" w:line="260"/>
      </w:pPr>
      <w:r>
        <w:rPr>
          <w:rFonts w:ascii="Calibri" w:cs="Calibri" w:eastAsia="Calibri" w:hAnsi="Calibri"/>
          <w:sz w:val="20"/>
          <w:szCs w:val="20"/>
        </w:rPr>
        <w:t xml:space="preserve">Maintien du modèle économique transparent et redistributif.</w:t>
      </w:r>
    </w:p>
    <w:p>
      <w:pPr>
        <w:pStyle w:val="ListParagraph"/>
        <w:numPr>
          <w:ilvl w:val="0"/>
          <w:numId w:val="3"/>
        </w:numPr>
        <w:spacing w:after="60" w:line="260"/>
      </w:pPr>
      <w:r>
        <w:rPr>
          <w:rFonts w:ascii="Calibri" w:cs="Calibri" w:eastAsia="Calibri" w:hAnsi="Calibri"/>
          <w:sz w:val="20"/>
          <w:szCs w:val="20"/>
        </w:rPr>
        <w:t xml:space="preserve">Refus de dénaturer Eventy par croissance non-alignée.</w:t>
      </w:r>
    </w:p>
    <w:p>
      <w:pPr>
        <w:pStyle w:val="ListParagraph"/>
        <w:numPr>
          <w:ilvl w:val="0"/>
          <w:numId w:val="3"/>
        </w:numPr>
        <w:spacing w:after="60" w:line="260"/>
      </w:pPr>
      <w:r>
        <w:rPr>
          <w:rFonts w:ascii="Calibri" w:cs="Calibri" w:eastAsia="Calibri" w:hAnsi="Calibri"/>
          <w:sz w:val="20"/>
          <w:szCs w:val="20"/>
        </w:rPr>
        <w:t xml:space="preserve">Engagement à mesurer et publier les indicateurs annuellement.</w:t>
      </w:r>
    </w:p>
    <w:p>
      <w:pPr>
        <w:pStyle w:val="ListParagraph"/>
        <w:numPr>
          <w:ilvl w:val="0"/>
          <w:numId w:val="3"/>
        </w:numPr>
        <w:spacing w:after="60" w:line="260"/>
      </w:pPr>
      <w:r>
        <w:rPr>
          <w:rFonts w:ascii="Calibri" w:cs="Calibri" w:eastAsia="Calibri" w:hAnsi="Calibri"/>
          <w:sz w:val="20"/>
          <w:szCs w:val="20"/>
        </w:rPr>
        <w:t xml:space="preserve">Engagement à informer les associés en cas d'écart majeur.</w:t>
      </w:r>
    </w:p>
    <w:p>
      <w:pPr>
        <w:pStyle w:val="ListParagraph"/>
        <w:numPr>
          <w:ilvl w:val="0"/>
          <w:numId w:val="3"/>
        </w:numPr>
        <w:spacing w:after="60" w:line="260"/>
      </w:pPr>
      <w:r>
        <w:rPr>
          <w:rFonts w:ascii="Calibri" w:cs="Calibri" w:eastAsia="Calibri" w:hAnsi="Calibri"/>
          <w:sz w:val="20"/>
          <w:szCs w:val="20"/>
        </w:rPr>
        <w:t xml:space="preserve">Engagement à préserver les voyageurs en toutes circonstances.</w:t>
      </w:r>
    </w:p>
    <w:p>
      <w:pPr>
        <w:pStyle w:val="ListParagraph"/>
        <w:numPr>
          <w:ilvl w:val="0"/>
          <w:numId w:val="3"/>
        </w:numPr>
        <w:spacing w:after="60" w:line="260"/>
      </w:pPr>
      <w:r>
        <w:rPr>
          <w:rFonts w:ascii="Calibri" w:cs="Calibri" w:eastAsia="Calibri" w:hAnsi="Calibri"/>
          <w:sz w:val="20"/>
          <w:szCs w:val="20"/>
        </w:rPr>
        <w:t xml:space="preserve">Engagement à respecter le calendrier de levées de fonds (sauf force majeure).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stratégique — Version 1.0 — 2 mai 2026. Mise à jour annuelle, révision majeure tous les 2-3 ans.</w:t>
      </w:r>
    </w:p>
    <w:p>
      <w:pPr>
        <w:spacing w:after="100" w:line="280"/>
        <w:jc w:val="both"/>
      </w:pPr>
      <w:r>
        <w:rPr>
          <w:rFonts w:ascii="Calibri" w:cs="Calibri" w:eastAsia="Calibri" w:hAnsi="Calibri"/>
          <w:i/>
          <w:iCs/>
          <w:color w:val="555555"/>
          <w:sz w:val="18"/>
          <w:szCs w:val="18"/>
        </w:rPr>
        <w:t xml:space="preserve">Cohérence avec : Roadmap technique, Plan d'expansion internationale, Politique RSE, Charte engagement carbone, Dossier investisseur, Pacte d'associés Seed, Term Sheet Seed, ensemble du dispositif documentaire Eventy.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stratégique 5 ans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stratégique 5 ans</dc:title>
  <dc:creator>David Eventy — Eventy Life SAS</dc:creator>
  <dc:description>Vision long terme consolidée 2026-2031 d'Eventy Life.</dc:description>
  <cp:lastModifiedBy>Un-named</cp:lastModifiedBy>
  <cp:revision>1</cp:revision>
  <dcterms:created xsi:type="dcterms:W3CDTF">2026-05-02T03:22:51.850Z</dcterms:created>
  <dcterms:modified xsi:type="dcterms:W3CDTF">2026-05-02T03:22:51.851Z</dcterms:modified>
</cp:coreProperties>
</file>

<file path=docProps/custom.xml><?xml version="1.0" encoding="utf-8"?>
<Properties xmlns="http://schemas.openxmlformats.org/officeDocument/2006/custom-properties" xmlns:vt="http://schemas.openxmlformats.org/officeDocument/2006/docPropsVTypes"/>
</file>