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D'ACHATS RESPONSABLES EVENTY LIFE</w:t>
            </w:r>
          </w:p>
          <w:p>
            <w:pPr>
              <w:spacing w:after="0"/>
              <w:jc w:val="center"/>
            </w:pPr>
            <w:r>
              <w:rPr>
                <w:rFonts w:ascii="Calibri" w:cs="Calibri" w:eastAsia="Calibri" w:hAnsi="Calibri"/>
                <w:i/>
                <w:iCs/>
                <w:color w:val="1F4E79"/>
                <w:sz w:val="18"/>
                <w:szCs w:val="18"/>
              </w:rPr>
              <w:t xml:space="preserve">Sélection éthique et environnementale des fournisseurs et prestations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les principes et modalités d'achats responsables d'EVENTY LIFE SAS. Elle s'applique à toutes les dépenses engagées au nom d'Eventy : prestations HRA (hôtels, restaurants, activités), services techniques (hébergement cloud, outils SaaS), achats divers (fournitures bureau, matériel équipe, événementiel).</w:t>
      </w:r>
    </w:p>
    <w:p>
      <w:pPr>
        <w:spacing w:after="100" w:line="280"/>
        <w:jc w:val="both"/>
      </w:pPr>
      <w:r>
        <w:rPr>
          <w:rFonts w:ascii="Calibri" w:cs="Calibri" w:eastAsia="Calibri" w:hAnsi="Calibri"/>
          <w:i/>
          <w:iCs/>
          <w:color w:val="1A1A1A"/>
          <w:sz w:val="20"/>
          <w:szCs w:val="20"/>
        </w:rPr>
        <w:t xml:space="preserve">Cette politique opérationnalise les engagements RSE d'Eventy (pilier économique et environnemental) en posant des règles concrètes de sélection et d'évaluation des fournisseurs. Elle s'inscrit en cohérence avec la Charte fournisseurs et la Politique RSE.</w:t>
      </w:r>
    </w:p>
    <w:p>
      <w:pPr>
        <w:spacing w:after="160" w:before="240"/>
      </w:pPr>
      <w:r>
        <w:rPr>
          <w:rFonts w:ascii="Calibri" w:cs="Calibri" w:eastAsia="Calibri" w:hAnsi="Calibri"/>
          <w:b/>
          <w:bCs/>
          <w:color w:val="1F4E79"/>
          <w:sz w:val="32"/>
          <w:szCs w:val="32"/>
        </w:rPr>
        <w:t xml:space="preserve">1. Principes directeurs</w:t>
      </w:r>
    </w:p>
    <w:p>
      <w:pPr>
        <w:spacing w:after="100" w:before="220"/>
      </w:pPr>
      <w:r>
        <w:rPr>
          <w:rFonts w:ascii="Calibri" w:cs="Calibri" w:eastAsia="Calibri" w:hAnsi="Calibri"/>
          <w:b/>
          <w:bCs/>
          <w:color w:val="E87722"/>
          <w:sz w:val="22"/>
          <w:szCs w:val="22"/>
        </w:rPr>
        <w:t xml:space="preserve">1.1. Six principes fondamentaux</w:t>
      </w:r>
    </w:p>
    <w:p>
      <w:pPr>
        <w:pStyle w:val="ListParagraph"/>
        <w:numPr>
          <w:ilvl w:val="0"/>
          <w:numId w:val="2"/>
        </w:numPr>
        <w:spacing w:after="60" w:line="260"/>
      </w:pPr>
      <w:r>
        <w:rPr>
          <w:rFonts w:ascii="Calibri" w:cs="Calibri" w:eastAsia="Calibri" w:hAnsi="Calibri"/>
          <w:sz w:val="20"/>
          <w:szCs w:val="20"/>
        </w:rPr>
        <w:t xml:space="preserve">Préférence à la France et à l'Europe — souveraineté économique.</w:t>
      </w:r>
    </w:p>
    <w:p>
      <w:pPr>
        <w:pStyle w:val="ListParagraph"/>
        <w:numPr>
          <w:ilvl w:val="0"/>
          <w:numId w:val="2"/>
        </w:numPr>
        <w:spacing w:after="60" w:line="260"/>
      </w:pPr>
      <w:r>
        <w:rPr>
          <w:rFonts w:ascii="Calibri" w:cs="Calibri" w:eastAsia="Calibri" w:hAnsi="Calibri"/>
          <w:sz w:val="20"/>
          <w:szCs w:val="20"/>
        </w:rPr>
        <w:t xml:space="preserve">Préférence aux circuits courts et aux acteurs locaux.</w:t>
      </w:r>
    </w:p>
    <w:p>
      <w:pPr>
        <w:pStyle w:val="ListParagraph"/>
        <w:numPr>
          <w:ilvl w:val="0"/>
          <w:numId w:val="2"/>
        </w:numPr>
        <w:spacing w:after="60" w:line="260"/>
      </w:pPr>
      <w:r>
        <w:rPr>
          <w:rFonts w:ascii="Calibri" w:cs="Calibri" w:eastAsia="Calibri" w:hAnsi="Calibri"/>
          <w:sz w:val="20"/>
          <w:szCs w:val="20"/>
        </w:rPr>
        <w:t xml:space="preserve">Préférence aux entreprises avec engagement RSE structuré.</w:t>
      </w:r>
    </w:p>
    <w:p>
      <w:pPr>
        <w:pStyle w:val="ListParagraph"/>
        <w:numPr>
          <w:ilvl w:val="0"/>
          <w:numId w:val="2"/>
        </w:numPr>
        <w:spacing w:after="60" w:line="260"/>
      </w:pPr>
      <w:r>
        <w:rPr>
          <w:rFonts w:ascii="Calibri" w:cs="Calibri" w:eastAsia="Calibri" w:hAnsi="Calibri"/>
          <w:sz w:val="20"/>
          <w:szCs w:val="20"/>
        </w:rPr>
        <w:t xml:space="preserve">Refus de toute pratique d'achat trompeuse ou de pression abusive sur les prix.</w:t>
      </w:r>
    </w:p>
    <w:p>
      <w:pPr>
        <w:pStyle w:val="ListParagraph"/>
        <w:numPr>
          <w:ilvl w:val="0"/>
          <w:numId w:val="2"/>
        </w:numPr>
        <w:spacing w:after="60" w:line="260"/>
      </w:pPr>
      <w:r>
        <w:rPr>
          <w:rFonts w:ascii="Calibri" w:cs="Calibri" w:eastAsia="Calibri" w:hAnsi="Calibri"/>
          <w:sz w:val="20"/>
          <w:szCs w:val="20"/>
        </w:rPr>
        <w:t xml:space="preserve">Paiement à 30 jours fin de mois maximum (loi LME respectée systématiquement).</w:t>
      </w:r>
    </w:p>
    <w:p>
      <w:pPr>
        <w:pStyle w:val="ListParagraph"/>
        <w:numPr>
          <w:ilvl w:val="0"/>
          <w:numId w:val="2"/>
        </w:numPr>
        <w:spacing w:after="60" w:line="260"/>
      </w:pPr>
      <w:r>
        <w:rPr>
          <w:rFonts w:ascii="Calibri" w:cs="Calibri" w:eastAsia="Calibri" w:hAnsi="Calibri"/>
          <w:sz w:val="20"/>
          <w:szCs w:val="20"/>
        </w:rPr>
        <w:t xml:space="preserve">Transparence intégrale (chaque euro tracé, cohérence transparence prix Eventy).</w:t>
      </w:r>
    </w:p>
    <w:p>
      <w:pPr>
        <w:spacing w:after="100" w:before="220"/>
      </w:pPr>
      <w:r>
        <w:rPr>
          <w:rFonts w:ascii="Calibri" w:cs="Calibri" w:eastAsia="Calibri" w:hAnsi="Calibri"/>
          <w:b/>
          <w:bCs/>
          <w:color w:val="E87722"/>
          <w:sz w:val="22"/>
          <w:szCs w:val="22"/>
        </w:rPr>
        <w:t xml:space="preserve">1.2. Principe « équité économique »</w:t>
      </w:r>
    </w:p>
    <w:p>
      <w:pPr>
        <w:spacing w:after="100" w:line="280"/>
        <w:jc w:val="both"/>
      </w:pPr>
      <w:r>
        <w:rPr>
          <w:rFonts w:ascii="Calibri" w:cs="Calibri" w:eastAsia="Calibri" w:hAnsi="Calibri"/>
          <w:color w:val="1A1A1A"/>
          <w:sz w:val="20"/>
          <w:szCs w:val="20"/>
        </w:rPr>
        <w:t xml:space="preserve">Eventy refuse les pratiques d'achat extractives. Pour chaque prestation HRA, Eventy applique une marge raisonnable (modèle PDG validé : pas de marge cachée, redistribution équitable). Les prix négociés laissent au partenaire HRA une marge suffisante pour vivre dignement et investir dans la qualité.</w:t>
      </w:r>
    </w:p>
    <w:p>
      <w:pPr>
        <w:spacing w:after="160" w:before="240"/>
      </w:pPr>
      <w:r>
        <w:rPr>
          <w:rFonts w:ascii="Calibri" w:cs="Calibri" w:eastAsia="Calibri" w:hAnsi="Calibri"/>
          <w:b/>
          <w:bCs/>
          <w:color w:val="1F4E79"/>
          <w:sz w:val="32"/>
          <w:szCs w:val="32"/>
        </w:rPr>
        <w:t xml:space="preserve">2. Catégories d'achats Eventy</w:t>
      </w:r>
    </w:p>
    <w:p>
      <w:pPr>
        <w:spacing w:after="100" w:before="220"/>
      </w:pPr>
      <w:r>
        <w:rPr>
          <w:rFonts w:ascii="Calibri" w:cs="Calibri" w:eastAsia="Calibri" w:hAnsi="Calibri"/>
          <w:b/>
          <w:bCs/>
          <w:color w:val="E87722"/>
          <w:sz w:val="22"/>
          <w:szCs w:val="22"/>
        </w:rPr>
        <w:t xml:space="preserve">2.1. Achats récurrents structurants (&gt; 80 % du volume)</w:t>
      </w:r>
    </w:p>
    <w:p>
      <w:pPr>
        <w:pStyle w:val="ListParagraph"/>
        <w:numPr>
          <w:ilvl w:val="0"/>
          <w:numId w:val="2"/>
        </w:numPr>
        <w:spacing w:after="60" w:line="260"/>
      </w:pPr>
      <w:r>
        <w:rPr>
          <w:rFonts w:ascii="Calibri" w:cs="Calibri" w:eastAsia="Calibri" w:hAnsi="Calibri"/>
          <w:sz w:val="20"/>
          <w:szCs w:val="20"/>
        </w:rPr>
        <w:t xml:space="preserve">Hébergement HRA (hôtels, gîtes, chambres d'hôtes).</w:t>
      </w:r>
    </w:p>
    <w:p>
      <w:pPr>
        <w:pStyle w:val="ListParagraph"/>
        <w:numPr>
          <w:ilvl w:val="0"/>
          <w:numId w:val="2"/>
        </w:numPr>
        <w:spacing w:after="60" w:line="260"/>
      </w:pPr>
      <w:r>
        <w:rPr>
          <w:rFonts w:ascii="Calibri" w:cs="Calibri" w:eastAsia="Calibri" w:hAnsi="Calibri"/>
          <w:sz w:val="20"/>
          <w:szCs w:val="20"/>
        </w:rPr>
        <w:t xml:space="preserve">Restauration HRA.</w:t>
      </w:r>
    </w:p>
    <w:p>
      <w:pPr>
        <w:pStyle w:val="ListParagraph"/>
        <w:numPr>
          <w:ilvl w:val="0"/>
          <w:numId w:val="2"/>
        </w:numPr>
        <w:spacing w:after="60" w:line="260"/>
      </w:pPr>
      <w:r>
        <w:rPr>
          <w:rFonts w:ascii="Calibri" w:cs="Calibri" w:eastAsia="Calibri" w:hAnsi="Calibri"/>
          <w:sz w:val="20"/>
          <w:szCs w:val="20"/>
        </w:rPr>
        <w:t xml:space="preserve">Activités HRA (musées, guides, prestations expérientielles).</w:t>
      </w:r>
    </w:p>
    <w:p>
      <w:pPr>
        <w:pStyle w:val="ListParagraph"/>
        <w:numPr>
          <w:ilvl w:val="0"/>
          <w:numId w:val="2"/>
        </w:numPr>
        <w:spacing w:after="60" w:line="260"/>
      </w:pPr>
      <w:r>
        <w:rPr>
          <w:rFonts w:ascii="Calibri" w:cs="Calibri" w:eastAsia="Calibri" w:hAnsi="Calibri"/>
          <w:sz w:val="20"/>
          <w:szCs w:val="20"/>
        </w:rPr>
        <w:t xml:space="preserve">Transport voyageurs (autocaristes, transport ferroviaire, vols ponctuels).</w:t>
      </w:r>
    </w:p>
    <w:p>
      <w:pPr>
        <w:spacing w:after="100" w:before="220"/>
      </w:pPr>
      <w:r>
        <w:rPr>
          <w:rFonts w:ascii="Calibri" w:cs="Calibri" w:eastAsia="Calibri" w:hAnsi="Calibri"/>
          <w:b/>
          <w:bCs/>
          <w:color w:val="E87722"/>
          <w:sz w:val="22"/>
          <w:szCs w:val="22"/>
        </w:rPr>
        <w:t xml:space="preserve">2.2. Achats récurrents support (≤ 15 % du volume)</w:t>
      </w:r>
    </w:p>
    <w:p>
      <w:pPr>
        <w:pStyle w:val="ListParagraph"/>
        <w:numPr>
          <w:ilvl w:val="0"/>
          <w:numId w:val="2"/>
        </w:numPr>
        <w:spacing w:after="60" w:line="260"/>
      </w:pPr>
      <w:r>
        <w:rPr>
          <w:rFonts w:ascii="Calibri" w:cs="Calibri" w:eastAsia="Calibri" w:hAnsi="Calibri"/>
          <w:sz w:val="20"/>
          <w:szCs w:val="20"/>
        </w:rPr>
        <w:t xml:space="preserve">Hébergement plateforme (Scaleway France).</w:t>
      </w:r>
    </w:p>
    <w:p>
      <w:pPr>
        <w:pStyle w:val="ListParagraph"/>
        <w:numPr>
          <w:ilvl w:val="0"/>
          <w:numId w:val="2"/>
        </w:numPr>
        <w:spacing w:after="60" w:line="260"/>
      </w:pPr>
      <w:r>
        <w:rPr>
          <w:rFonts w:ascii="Calibri" w:cs="Calibri" w:eastAsia="Calibri" w:hAnsi="Calibri"/>
          <w:sz w:val="20"/>
          <w:szCs w:val="20"/>
        </w:rPr>
        <w:t xml:space="preserve">Outils SaaS (Stripe, Google Workspace, Slack/Teams, comptable, support client).</w:t>
      </w:r>
    </w:p>
    <w:p>
      <w:pPr>
        <w:pStyle w:val="ListParagraph"/>
        <w:numPr>
          <w:ilvl w:val="0"/>
          <w:numId w:val="2"/>
        </w:numPr>
        <w:spacing w:after="60" w:line="260"/>
      </w:pPr>
      <w:r>
        <w:rPr>
          <w:rFonts w:ascii="Calibri" w:cs="Calibri" w:eastAsia="Calibri" w:hAnsi="Calibri"/>
          <w:sz w:val="20"/>
          <w:szCs w:val="20"/>
        </w:rPr>
        <w:t xml:space="preserve">Honoraires des conseils externes (avocat, expert-comptable, DPO, RP).</w:t>
      </w:r>
    </w:p>
    <w:p>
      <w:pPr>
        <w:spacing w:after="100" w:before="220"/>
      </w:pPr>
      <w:r>
        <w:rPr>
          <w:rFonts w:ascii="Calibri" w:cs="Calibri" w:eastAsia="Calibri" w:hAnsi="Calibri"/>
          <w:b/>
          <w:bCs/>
          <w:color w:val="E87722"/>
          <w:sz w:val="22"/>
          <w:szCs w:val="22"/>
        </w:rPr>
        <w:t xml:space="preserve">2.3. Achats ponctuels (≤ 5 % du volume)</w:t>
      </w:r>
    </w:p>
    <w:p>
      <w:pPr>
        <w:pStyle w:val="ListParagraph"/>
        <w:numPr>
          <w:ilvl w:val="0"/>
          <w:numId w:val="2"/>
        </w:numPr>
        <w:spacing w:after="60" w:line="260"/>
      </w:pPr>
      <w:r>
        <w:rPr>
          <w:rFonts w:ascii="Calibri" w:cs="Calibri" w:eastAsia="Calibri" w:hAnsi="Calibri"/>
          <w:sz w:val="20"/>
          <w:szCs w:val="20"/>
        </w:rPr>
        <w:t xml:space="preserve">Matériel équipe (PC, casques, écrans).</w:t>
      </w:r>
    </w:p>
    <w:p>
      <w:pPr>
        <w:pStyle w:val="ListParagraph"/>
        <w:numPr>
          <w:ilvl w:val="0"/>
          <w:numId w:val="2"/>
        </w:numPr>
        <w:spacing w:after="60" w:line="260"/>
      </w:pPr>
      <w:r>
        <w:rPr>
          <w:rFonts w:ascii="Calibri" w:cs="Calibri" w:eastAsia="Calibri" w:hAnsi="Calibri"/>
          <w:sz w:val="20"/>
          <w:szCs w:val="20"/>
        </w:rPr>
        <w:t xml:space="preserve">Fournitures bureau.</w:t>
      </w:r>
    </w:p>
    <w:p>
      <w:pPr>
        <w:pStyle w:val="ListParagraph"/>
        <w:numPr>
          <w:ilvl w:val="0"/>
          <w:numId w:val="2"/>
        </w:numPr>
        <w:spacing w:after="60" w:line="260"/>
      </w:pPr>
      <w:r>
        <w:rPr>
          <w:rFonts w:ascii="Calibri" w:cs="Calibri" w:eastAsia="Calibri" w:hAnsi="Calibri"/>
          <w:sz w:val="20"/>
          <w:szCs w:val="20"/>
        </w:rPr>
        <w:t xml:space="preserve">Événementiel (séminaires, soirées équipe).</w:t>
      </w:r>
    </w:p>
    <w:p>
      <w:pPr>
        <w:pStyle w:val="ListParagraph"/>
        <w:numPr>
          <w:ilvl w:val="0"/>
          <w:numId w:val="2"/>
        </w:numPr>
        <w:spacing w:after="60" w:line="260"/>
      </w:pPr>
      <w:r>
        <w:rPr>
          <w:rFonts w:ascii="Calibri" w:cs="Calibri" w:eastAsia="Calibri" w:hAnsi="Calibri"/>
          <w:sz w:val="20"/>
          <w:szCs w:val="20"/>
        </w:rPr>
        <w:t xml:space="preserve">Communication (impression, vidéo, site web).</w:t>
      </w:r>
    </w:p>
    <w:p>
      <w:pPr>
        <w:spacing w:after="160" w:before="240"/>
      </w:pPr>
      <w:r>
        <w:rPr>
          <w:rFonts w:ascii="Calibri" w:cs="Calibri" w:eastAsia="Calibri" w:hAnsi="Calibri"/>
          <w:b/>
          <w:bCs/>
          <w:color w:val="1F4E79"/>
          <w:sz w:val="32"/>
          <w:szCs w:val="32"/>
        </w:rPr>
        <w:t xml:space="preserve">3. Critères de sélection des fournisseurs</w:t>
      </w:r>
    </w:p>
    <w:p>
      <w:pPr>
        <w:spacing w:after="100" w:before="220"/>
      </w:pPr>
      <w:r>
        <w:rPr>
          <w:rFonts w:ascii="Calibri" w:cs="Calibri" w:eastAsia="Calibri" w:hAnsi="Calibri"/>
          <w:b/>
          <w:bCs/>
          <w:color w:val="E87722"/>
          <w:sz w:val="22"/>
          <w:szCs w:val="22"/>
        </w:rPr>
        <w:t xml:space="preserve">3.1. Grille de notation à 5 critères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2496"/>
        <w:gridCol w:w="1872"/>
      </w:tblGrid>
      <w:tr>
        <w:trPr>
          <w:tblHeader/>
        </w:trPr>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Critère</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Pondération</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Sources de notation</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Note minimale</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Qualité de la prestation</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qualité, références</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3/5</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juste (rapport qualité/prix)</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20 %</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Comparatif marché, négociation</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3/5</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Engagement RSE</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20 %</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Charte signée, audit, certifications</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Localisation France/Europe/local</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15 %</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siège + lieu prestation</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Obligatoire</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Solidité économique</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15 %</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Vérification Kbis, situation Banque de France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Pas en procédure</w:t>
            </w:r>
          </w:p>
        </w:tc>
      </w:tr>
    </w:tbl>
    <w:p>
      <w:pPr>
        <w:spacing w:after="100" w:before="220"/>
      </w:pPr>
      <w:r>
        <w:rPr>
          <w:rFonts w:ascii="Calibri" w:cs="Calibri" w:eastAsia="Calibri" w:hAnsi="Calibri"/>
          <w:b/>
          <w:bCs/>
          <w:color w:val="E87722"/>
          <w:sz w:val="22"/>
          <w:szCs w:val="22"/>
        </w:rPr>
        <w:t xml:space="preserve">3.2. Note minimale globale</w:t>
      </w:r>
    </w:p>
    <w:p>
      <w:pPr>
        <w:pStyle w:val="ListParagraph"/>
        <w:numPr>
          <w:ilvl w:val="0"/>
          <w:numId w:val="2"/>
        </w:numPr>
        <w:spacing w:after="60" w:line="260"/>
      </w:pPr>
      <w:r>
        <w:rPr>
          <w:rFonts w:ascii="Calibri" w:cs="Calibri" w:eastAsia="Calibri" w:hAnsi="Calibri"/>
          <w:sz w:val="20"/>
          <w:szCs w:val="20"/>
        </w:rPr>
        <w:t xml:space="preserve">Référencement initial : note pondérée minimale 3,5/5.</w:t>
      </w:r>
    </w:p>
    <w:p>
      <w:pPr>
        <w:pStyle w:val="ListParagraph"/>
        <w:numPr>
          <w:ilvl w:val="0"/>
          <w:numId w:val="2"/>
        </w:numPr>
        <w:spacing w:after="60" w:line="260"/>
      </w:pPr>
      <w:r>
        <w:rPr>
          <w:rFonts w:ascii="Calibri" w:cs="Calibri" w:eastAsia="Calibri" w:hAnsi="Calibri"/>
          <w:sz w:val="20"/>
          <w:szCs w:val="20"/>
        </w:rPr>
        <w:t xml:space="preserve">Maintien dans le panel : note pondérée maintenue 3/5.</w:t>
      </w:r>
    </w:p>
    <w:p>
      <w:pPr>
        <w:pStyle w:val="ListParagraph"/>
        <w:numPr>
          <w:ilvl w:val="0"/>
          <w:numId w:val="2"/>
        </w:numPr>
        <w:spacing w:after="60" w:line="260"/>
      </w:pPr>
      <w:r>
        <w:rPr>
          <w:rFonts w:ascii="Calibri" w:cs="Calibri" w:eastAsia="Calibri" w:hAnsi="Calibri"/>
          <w:sz w:val="20"/>
          <w:szCs w:val="20"/>
        </w:rPr>
        <w:t xml:space="preserve">Sortie du panel : 2 audits consécutifs &lt; 3/5 ou défaut grave caractérisé.</w:t>
      </w:r>
    </w:p>
    <w:p>
      <w:pPr>
        <w:spacing w:after="160" w:before="240"/>
      </w:pPr>
      <w:r>
        <w:rPr>
          <w:rFonts w:ascii="Calibri" w:cs="Calibri" w:eastAsia="Calibri" w:hAnsi="Calibri"/>
          <w:b/>
          <w:bCs/>
          <w:color w:val="1F4E79"/>
          <w:sz w:val="32"/>
          <w:szCs w:val="32"/>
        </w:rPr>
        <w:t xml:space="preserve">4. Critères RSE pour les fournisseurs HRA (focus)</w:t>
      </w:r>
    </w:p>
    <w:p>
      <w:pPr>
        <w:spacing w:after="100" w:before="220"/>
      </w:pPr>
      <w:r>
        <w:rPr>
          <w:rFonts w:ascii="Calibri" w:cs="Calibri" w:eastAsia="Calibri" w:hAnsi="Calibri"/>
          <w:b/>
          <w:bCs/>
          <w:color w:val="E87722"/>
          <w:sz w:val="22"/>
          <w:szCs w:val="22"/>
        </w:rPr>
        <w:t xml:space="preserve">4.1. Critères environnementaux</w:t>
      </w:r>
    </w:p>
    <w:p>
      <w:pPr>
        <w:pStyle w:val="ListParagraph"/>
        <w:numPr>
          <w:ilvl w:val="0"/>
          <w:numId w:val="2"/>
        </w:numPr>
        <w:spacing w:after="60" w:line="260"/>
      </w:pPr>
      <w:r>
        <w:rPr>
          <w:rFonts w:ascii="Calibri" w:cs="Calibri" w:eastAsia="Calibri" w:hAnsi="Calibri"/>
          <w:sz w:val="20"/>
          <w:szCs w:val="20"/>
        </w:rPr>
        <w:t xml:space="preserve">Classement énergétique de l'établissement (DPE, Clef Verte, Écolabel européen).</w:t>
      </w:r>
    </w:p>
    <w:p>
      <w:pPr>
        <w:pStyle w:val="ListParagraph"/>
        <w:numPr>
          <w:ilvl w:val="0"/>
          <w:numId w:val="2"/>
        </w:numPr>
        <w:spacing w:after="60" w:line="260"/>
      </w:pPr>
      <w:r>
        <w:rPr>
          <w:rFonts w:ascii="Calibri" w:cs="Calibri" w:eastAsia="Calibri" w:hAnsi="Calibri"/>
          <w:sz w:val="20"/>
          <w:szCs w:val="20"/>
        </w:rPr>
        <w:t xml:space="preserve">Politique de gestion des déchets (tri, recyclage, lutte gaspillage alimentaire).</w:t>
      </w:r>
    </w:p>
    <w:p>
      <w:pPr>
        <w:pStyle w:val="ListParagraph"/>
        <w:numPr>
          <w:ilvl w:val="0"/>
          <w:numId w:val="2"/>
        </w:numPr>
        <w:spacing w:after="60" w:line="260"/>
      </w:pPr>
      <w:r>
        <w:rPr>
          <w:rFonts w:ascii="Calibri" w:cs="Calibri" w:eastAsia="Calibri" w:hAnsi="Calibri"/>
          <w:sz w:val="20"/>
          <w:szCs w:val="20"/>
        </w:rPr>
        <w:t xml:space="preserve">Politique d'eau (économies, récupération eau de pluie).</w:t>
      </w:r>
    </w:p>
    <w:p>
      <w:pPr>
        <w:pStyle w:val="ListParagraph"/>
        <w:numPr>
          <w:ilvl w:val="0"/>
          <w:numId w:val="2"/>
        </w:numPr>
        <w:spacing w:after="60" w:line="260"/>
      </w:pPr>
      <w:r>
        <w:rPr>
          <w:rFonts w:ascii="Calibri" w:cs="Calibri" w:eastAsia="Calibri" w:hAnsi="Calibri"/>
          <w:sz w:val="20"/>
          <w:szCs w:val="20"/>
        </w:rPr>
        <w:t xml:space="preserve">Mobilier durable (provenance, longévité, réparation).</w:t>
      </w:r>
    </w:p>
    <w:p>
      <w:pPr>
        <w:pStyle w:val="ListParagraph"/>
        <w:numPr>
          <w:ilvl w:val="0"/>
          <w:numId w:val="2"/>
        </w:numPr>
        <w:spacing w:after="60" w:line="260"/>
      </w:pPr>
      <w:r>
        <w:rPr>
          <w:rFonts w:ascii="Calibri" w:cs="Calibri" w:eastAsia="Calibri" w:hAnsi="Calibri"/>
          <w:sz w:val="20"/>
          <w:szCs w:val="20"/>
        </w:rPr>
        <w:t xml:space="preserve">Restauration : approvisionnement local, saisonnalité, options végétariennes.</w:t>
      </w:r>
    </w:p>
    <w:p>
      <w:pPr>
        <w:spacing w:after="100" w:before="220"/>
      </w:pPr>
      <w:r>
        <w:rPr>
          <w:rFonts w:ascii="Calibri" w:cs="Calibri" w:eastAsia="Calibri" w:hAnsi="Calibri"/>
          <w:b/>
          <w:bCs/>
          <w:color w:val="E87722"/>
          <w:sz w:val="22"/>
          <w:szCs w:val="22"/>
        </w:rPr>
        <w:t xml:space="preserve">4.2. Critères sociaux</w:t>
      </w:r>
    </w:p>
    <w:p>
      <w:pPr>
        <w:pStyle w:val="ListParagraph"/>
        <w:numPr>
          <w:ilvl w:val="0"/>
          <w:numId w:val="2"/>
        </w:numPr>
        <w:spacing w:after="60" w:line="260"/>
      </w:pPr>
      <w:r>
        <w:rPr>
          <w:rFonts w:ascii="Calibri" w:cs="Calibri" w:eastAsia="Calibri" w:hAnsi="Calibri"/>
          <w:sz w:val="20"/>
          <w:szCs w:val="20"/>
        </w:rPr>
        <w:t xml:space="preserve">Conditions de travail (respect Code du travail / lois locales).</w:t>
      </w:r>
    </w:p>
    <w:p>
      <w:pPr>
        <w:pStyle w:val="ListParagraph"/>
        <w:numPr>
          <w:ilvl w:val="0"/>
          <w:numId w:val="2"/>
        </w:numPr>
        <w:spacing w:after="60" w:line="260"/>
      </w:pPr>
      <w:r>
        <w:rPr>
          <w:rFonts w:ascii="Calibri" w:cs="Calibri" w:eastAsia="Calibri" w:hAnsi="Calibri"/>
          <w:sz w:val="20"/>
          <w:szCs w:val="20"/>
        </w:rPr>
        <w:t xml:space="preserve">Politique de non-discrimination.</w:t>
      </w:r>
    </w:p>
    <w:p>
      <w:pPr>
        <w:pStyle w:val="ListParagraph"/>
        <w:numPr>
          <w:ilvl w:val="0"/>
          <w:numId w:val="2"/>
        </w:numPr>
        <w:spacing w:after="60" w:line="260"/>
      </w:pPr>
      <w:r>
        <w:rPr>
          <w:rFonts w:ascii="Calibri" w:cs="Calibri" w:eastAsia="Calibri" w:hAnsi="Calibri"/>
          <w:sz w:val="20"/>
          <w:szCs w:val="20"/>
        </w:rPr>
        <w:t xml:space="preserve">Salaires décents (vérification hors France au minimum salaire local + 10 %).</w:t>
      </w:r>
    </w:p>
    <w:p>
      <w:pPr>
        <w:pStyle w:val="ListParagraph"/>
        <w:numPr>
          <w:ilvl w:val="0"/>
          <w:numId w:val="2"/>
        </w:numPr>
        <w:spacing w:after="60" w:line="260"/>
      </w:pPr>
      <w:r>
        <w:rPr>
          <w:rFonts w:ascii="Calibri" w:cs="Calibri" w:eastAsia="Calibri" w:hAnsi="Calibri"/>
          <w:sz w:val="20"/>
          <w:szCs w:val="20"/>
        </w:rPr>
        <w:t xml:space="preserve">Engagement contre le harcèlement et les violences au travail.</w:t>
      </w:r>
    </w:p>
    <w:p>
      <w:pPr>
        <w:spacing w:after="100" w:before="220"/>
      </w:pPr>
      <w:r>
        <w:rPr>
          <w:rFonts w:ascii="Calibri" w:cs="Calibri" w:eastAsia="Calibri" w:hAnsi="Calibri"/>
          <w:b/>
          <w:bCs/>
          <w:color w:val="E87722"/>
          <w:sz w:val="22"/>
          <w:szCs w:val="22"/>
        </w:rPr>
        <w:t xml:space="preserve">4.3. Critères de gouvernance</w:t>
      </w:r>
    </w:p>
    <w:p>
      <w:pPr>
        <w:pStyle w:val="ListParagraph"/>
        <w:numPr>
          <w:ilvl w:val="0"/>
          <w:numId w:val="2"/>
        </w:numPr>
        <w:spacing w:after="60" w:line="260"/>
      </w:pPr>
      <w:r>
        <w:rPr>
          <w:rFonts w:ascii="Calibri" w:cs="Calibri" w:eastAsia="Calibri" w:hAnsi="Calibri"/>
          <w:sz w:val="20"/>
          <w:szCs w:val="20"/>
        </w:rPr>
        <w:t xml:space="preserve">Engagement éthique formalisé.</w:t>
      </w:r>
    </w:p>
    <w:p>
      <w:pPr>
        <w:pStyle w:val="ListParagraph"/>
        <w:numPr>
          <w:ilvl w:val="0"/>
          <w:numId w:val="2"/>
        </w:numPr>
        <w:spacing w:after="60" w:line="260"/>
      </w:pPr>
      <w:r>
        <w:rPr>
          <w:rFonts w:ascii="Calibri" w:cs="Calibri" w:eastAsia="Calibri" w:hAnsi="Calibri"/>
          <w:sz w:val="20"/>
          <w:szCs w:val="20"/>
        </w:rPr>
        <w:t xml:space="preserve">Lutte contre la corruption (cohérence Politique anti-corruption Eventy).</w:t>
      </w:r>
    </w:p>
    <w:p>
      <w:pPr>
        <w:pStyle w:val="ListParagraph"/>
        <w:numPr>
          <w:ilvl w:val="0"/>
          <w:numId w:val="2"/>
        </w:numPr>
        <w:spacing w:after="60" w:line="260"/>
      </w:pPr>
      <w:r>
        <w:rPr>
          <w:rFonts w:ascii="Calibri" w:cs="Calibri" w:eastAsia="Calibri" w:hAnsi="Calibri"/>
          <w:sz w:val="20"/>
          <w:szCs w:val="20"/>
        </w:rPr>
        <w:t xml:space="preserve">Respect des lois locales (fiscalité, urbanisme, sécurité).</w:t>
      </w:r>
    </w:p>
    <w:p>
      <w:pPr>
        <w:pStyle w:val="ListParagraph"/>
        <w:numPr>
          <w:ilvl w:val="0"/>
          <w:numId w:val="2"/>
        </w:numPr>
        <w:spacing w:after="60" w:line="260"/>
      </w:pPr>
      <w:r>
        <w:rPr>
          <w:rFonts w:ascii="Calibri" w:cs="Calibri" w:eastAsia="Calibri" w:hAnsi="Calibri"/>
          <w:sz w:val="20"/>
          <w:szCs w:val="20"/>
        </w:rPr>
        <w:t xml:space="preserve">Transparence sur la propriété et la gouvernance (refus paradis fiscaux).</w:t>
      </w:r>
    </w:p>
    <w:p>
      <w:pPr>
        <w:spacing w:after="160" w:before="240"/>
      </w:pPr>
      <w:r>
        <w:rPr>
          <w:rFonts w:ascii="Calibri" w:cs="Calibri" w:eastAsia="Calibri" w:hAnsi="Calibri"/>
          <w:b/>
          <w:bCs/>
          <w:color w:val="1F4E79"/>
          <w:sz w:val="32"/>
          <w:szCs w:val="32"/>
        </w:rPr>
        <w:t xml:space="preserve">5. Préférence territoriale et circuits courts</w:t>
      </w:r>
    </w:p>
    <w:p>
      <w:pPr>
        <w:spacing w:after="100" w:before="220"/>
      </w:pPr>
      <w:r>
        <w:rPr>
          <w:rFonts w:ascii="Calibri" w:cs="Calibri" w:eastAsia="Calibri" w:hAnsi="Calibri"/>
          <w:b/>
          <w:bCs/>
          <w:color w:val="E87722"/>
          <w:sz w:val="22"/>
          <w:szCs w:val="22"/>
        </w:rPr>
        <w:t xml:space="preserve">5.1. Hiérarchie des préférences</w:t>
      </w:r>
    </w:p>
    <w:p>
      <w:pPr>
        <w:pStyle w:val="ListParagraph"/>
        <w:numPr>
          <w:ilvl w:val="0"/>
          <w:numId w:val="3"/>
        </w:numPr>
        <w:spacing w:after="60" w:line="260"/>
      </w:pPr>
      <w:r>
        <w:rPr>
          <w:rFonts w:ascii="Calibri" w:cs="Calibri" w:eastAsia="Calibri" w:hAnsi="Calibri"/>
          <w:sz w:val="20"/>
          <w:szCs w:val="20"/>
        </w:rPr>
        <w:t xml:space="preserve">Local — fournisseur basé sur la destination du voyage (ex : restaurateur de la région visitée).</w:t>
      </w:r>
    </w:p>
    <w:p>
      <w:pPr>
        <w:pStyle w:val="ListParagraph"/>
        <w:numPr>
          <w:ilvl w:val="0"/>
          <w:numId w:val="3"/>
        </w:numPr>
        <w:spacing w:after="60" w:line="260"/>
      </w:pPr>
      <w:r>
        <w:rPr>
          <w:rFonts w:ascii="Calibri" w:cs="Calibri" w:eastAsia="Calibri" w:hAnsi="Calibri"/>
          <w:sz w:val="20"/>
          <w:szCs w:val="20"/>
        </w:rPr>
        <w:t xml:space="preserve">National (France) — fournisseur français.</w:t>
      </w:r>
    </w:p>
    <w:p>
      <w:pPr>
        <w:pStyle w:val="ListParagraph"/>
        <w:numPr>
          <w:ilvl w:val="0"/>
          <w:numId w:val="3"/>
        </w:numPr>
        <w:spacing w:after="60" w:line="260"/>
      </w:pPr>
      <w:r>
        <w:rPr>
          <w:rFonts w:ascii="Calibri" w:cs="Calibri" w:eastAsia="Calibri" w:hAnsi="Calibri"/>
          <w:sz w:val="20"/>
          <w:szCs w:val="20"/>
        </w:rPr>
        <w:t xml:space="preserve">Européen — fournisseur dans l'UE/EEE.</w:t>
      </w:r>
    </w:p>
    <w:p>
      <w:pPr>
        <w:pStyle w:val="ListParagraph"/>
        <w:numPr>
          <w:ilvl w:val="0"/>
          <w:numId w:val="3"/>
        </w:numPr>
        <w:spacing w:after="60" w:line="260"/>
      </w:pPr>
      <w:r>
        <w:rPr>
          <w:rFonts w:ascii="Calibri" w:cs="Calibri" w:eastAsia="Calibri" w:hAnsi="Calibri"/>
          <w:sz w:val="20"/>
          <w:szCs w:val="20"/>
        </w:rPr>
        <w:t xml:space="preserve">International — uniquement si aucune alternative locale, nationale ou européenne ne répond au besoin.</w:t>
      </w:r>
    </w:p>
    <w:p>
      <w:pPr>
        <w:spacing w:after="100" w:before="220"/>
      </w:pPr>
      <w:r>
        <w:rPr>
          <w:rFonts w:ascii="Calibri" w:cs="Calibri" w:eastAsia="Calibri" w:hAnsi="Calibri"/>
          <w:b/>
          <w:bCs/>
          <w:color w:val="E87722"/>
          <w:sz w:val="22"/>
          <w:szCs w:val="22"/>
        </w:rPr>
        <w:t xml:space="preserve">5.2. Cas particulier — destinations internationales</w:t>
      </w:r>
    </w:p>
    <w:p>
      <w:pPr>
        <w:pStyle w:val="ListParagraph"/>
        <w:numPr>
          <w:ilvl w:val="0"/>
          <w:numId w:val="2"/>
        </w:numPr>
        <w:spacing w:after="60" w:line="260"/>
      </w:pPr>
      <w:r>
        <w:rPr>
          <w:rFonts w:ascii="Calibri" w:cs="Calibri" w:eastAsia="Calibri" w:hAnsi="Calibri"/>
          <w:sz w:val="20"/>
          <w:szCs w:val="20"/>
        </w:rPr>
        <w:t xml:space="preserve">Pour les voyages hors UE : sélection prioritaire de prestataires locaux (économie circulaire territoriale).</w:t>
      </w:r>
    </w:p>
    <w:p>
      <w:pPr>
        <w:pStyle w:val="ListParagraph"/>
        <w:numPr>
          <w:ilvl w:val="0"/>
          <w:numId w:val="2"/>
        </w:numPr>
        <w:spacing w:after="60" w:line="260"/>
      </w:pPr>
      <w:r>
        <w:rPr>
          <w:rFonts w:ascii="Calibri" w:cs="Calibri" w:eastAsia="Calibri" w:hAnsi="Calibri"/>
          <w:sz w:val="20"/>
          <w:szCs w:val="20"/>
        </w:rPr>
        <w:t xml:space="preserve">Refus des chaînes hôtelières internationales sans ancrage local pour les voyages exotiques.</w:t>
      </w:r>
    </w:p>
    <w:p>
      <w:pPr>
        <w:pStyle w:val="ListParagraph"/>
        <w:numPr>
          <w:ilvl w:val="0"/>
          <w:numId w:val="2"/>
        </w:numPr>
        <w:spacing w:after="60" w:line="260"/>
      </w:pPr>
      <w:r>
        <w:rPr>
          <w:rFonts w:ascii="Calibri" w:cs="Calibri" w:eastAsia="Calibri" w:hAnsi="Calibri"/>
          <w:sz w:val="20"/>
          <w:szCs w:val="20"/>
        </w:rPr>
        <w:t xml:space="preserve">Préférence aux structures à taille humaine (hôtels indépendants, restaurants familiaux).</w:t>
      </w:r>
    </w:p>
    <w:p>
      <w:pPr>
        <w:spacing w:after="160" w:before="240"/>
      </w:pPr>
      <w:r>
        <w:rPr>
          <w:rFonts w:ascii="Calibri" w:cs="Calibri" w:eastAsia="Calibri" w:hAnsi="Calibri"/>
          <w:b/>
          <w:bCs/>
          <w:color w:val="1F4E79"/>
          <w:sz w:val="32"/>
          <w:szCs w:val="32"/>
        </w:rPr>
        <w:t xml:space="preserve">6. Achats numériques responsables</w:t>
      </w:r>
    </w:p>
    <w:p>
      <w:pPr>
        <w:pStyle w:val="ListParagraph"/>
        <w:numPr>
          <w:ilvl w:val="0"/>
          <w:numId w:val="2"/>
        </w:numPr>
        <w:spacing w:after="60" w:line="260"/>
      </w:pPr>
      <w:r>
        <w:rPr>
          <w:rFonts w:ascii="Calibri" w:cs="Calibri" w:eastAsia="Calibri" w:hAnsi="Calibri"/>
          <w:sz w:val="20"/>
          <w:szCs w:val="20"/>
        </w:rPr>
        <w:t xml:space="preserve">Hébergement plateforme : Scaleway France (préférence souveraine et bas-carbone).</w:t>
      </w:r>
    </w:p>
    <w:p>
      <w:pPr>
        <w:pStyle w:val="ListParagraph"/>
        <w:numPr>
          <w:ilvl w:val="0"/>
          <w:numId w:val="2"/>
        </w:numPr>
        <w:spacing w:after="60" w:line="260"/>
      </w:pPr>
      <w:r>
        <w:rPr>
          <w:rFonts w:ascii="Calibri" w:cs="Calibri" w:eastAsia="Calibri" w:hAnsi="Calibri"/>
          <w:sz w:val="20"/>
          <w:szCs w:val="20"/>
        </w:rPr>
        <w:t xml:space="preserve">Refus des outils dont les CGV impliquent un transfert des données voyageurs hors UE sans encadrement (Clauses Contractuelles Types ou décision d'adéquation).</w:t>
      </w:r>
    </w:p>
    <w:p>
      <w:pPr>
        <w:pStyle w:val="ListParagraph"/>
        <w:numPr>
          <w:ilvl w:val="0"/>
          <w:numId w:val="2"/>
        </w:numPr>
        <w:spacing w:after="60" w:line="260"/>
      </w:pPr>
      <w:r>
        <w:rPr>
          <w:rFonts w:ascii="Calibri" w:cs="Calibri" w:eastAsia="Calibri" w:hAnsi="Calibri"/>
          <w:sz w:val="20"/>
          <w:szCs w:val="20"/>
        </w:rPr>
        <w:t xml:space="preserve">Préférence aux outils open source ou européens chaque fois que possible.</w:t>
      </w:r>
    </w:p>
    <w:p>
      <w:pPr>
        <w:pStyle w:val="ListParagraph"/>
        <w:numPr>
          <w:ilvl w:val="0"/>
          <w:numId w:val="2"/>
        </w:numPr>
        <w:spacing w:after="60" w:line="260"/>
      </w:pPr>
      <w:r>
        <w:rPr>
          <w:rFonts w:ascii="Calibri" w:cs="Calibri" w:eastAsia="Calibri" w:hAnsi="Calibri"/>
          <w:sz w:val="20"/>
          <w:szCs w:val="20"/>
        </w:rPr>
        <w:t xml:space="preserve">Refus des outils utilisant des modèles d'IA gourmands sans nécessité opérationnelle démontrée.</w:t>
      </w:r>
    </w:p>
    <w:p>
      <w:pPr>
        <w:pStyle w:val="ListParagraph"/>
        <w:numPr>
          <w:ilvl w:val="0"/>
          <w:numId w:val="2"/>
        </w:numPr>
        <w:spacing w:after="60" w:line="260"/>
      </w:pPr>
      <w:r>
        <w:rPr>
          <w:rFonts w:ascii="Calibri" w:cs="Calibri" w:eastAsia="Calibri" w:hAnsi="Calibri"/>
          <w:sz w:val="20"/>
          <w:szCs w:val="20"/>
        </w:rPr>
        <w:t xml:space="preserve">Audit annuel des outils SaaS utilisés (volume, coût, alternative possible).</w:t>
      </w:r>
    </w:p>
    <w:p>
      <w:pPr>
        <w:spacing w:after="160" w:before="240"/>
      </w:pPr>
      <w:r>
        <w:rPr>
          <w:rFonts w:ascii="Calibri" w:cs="Calibri" w:eastAsia="Calibri" w:hAnsi="Calibri"/>
          <w:b/>
          <w:bCs/>
          <w:color w:val="1F4E79"/>
          <w:sz w:val="32"/>
          <w:szCs w:val="32"/>
        </w:rPr>
        <w:t xml:space="preserve">7. Modalités contractuelles avec les fournisseurs</w:t>
      </w:r>
    </w:p>
    <w:p>
      <w:pPr>
        <w:spacing w:after="100" w:before="220"/>
      </w:pPr>
      <w:r>
        <w:rPr>
          <w:rFonts w:ascii="Calibri" w:cs="Calibri" w:eastAsia="Calibri" w:hAnsi="Calibri"/>
          <w:b/>
          <w:bCs/>
          <w:color w:val="E87722"/>
          <w:sz w:val="22"/>
          <w:szCs w:val="22"/>
        </w:rPr>
        <w:t xml:space="preserve">7.1. Contrats</w:t>
      </w:r>
    </w:p>
    <w:p>
      <w:pPr>
        <w:pStyle w:val="ListParagraph"/>
        <w:numPr>
          <w:ilvl w:val="0"/>
          <w:numId w:val="2"/>
        </w:numPr>
        <w:spacing w:after="60" w:line="260"/>
      </w:pPr>
      <w:r>
        <w:rPr>
          <w:rFonts w:ascii="Calibri" w:cs="Calibri" w:eastAsia="Calibri" w:hAnsi="Calibri"/>
          <w:sz w:val="20"/>
          <w:szCs w:val="20"/>
        </w:rPr>
        <w:t xml:space="preserve">Contrat-cadre HRA Partenaire signé pour tout fournisseur récurrent (cohérence Contrat HRA Partenaire).</w:t>
      </w:r>
    </w:p>
    <w:p>
      <w:pPr>
        <w:pStyle w:val="ListParagraph"/>
        <w:numPr>
          <w:ilvl w:val="0"/>
          <w:numId w:val="2"/>
        </w:numPr>
        <w:spacing w:after="60" w:line="260"/>
      </w:pPr>
      <w:r>
        <w:rPr>
          <w:rFonts w:ascii="Calibri" w:cs="Calibri" w:eastAsia="Calibri" w:hAnsi="Calibri"/>
          <w:sz w:val="20"/>
          <w:szCs w:val="20"/>
        </w:rPr>
        <w:t xml:space="preserve">Devis signé pour les achats ponctuels &gt; 1 000 € HT.</w:t>
      </w:r>
    </w:p>
    <w:p>
      <w:pPr>
        <w:pStyle w:val="ListParagraph"/>
        <w:numPr>
          <w:ilvl w:val="0"/>
          <w:numId w:val="2"/>
        </w:numPr>
        <w:spacing w:after="60" w:line="260"/>
      </w:pPr>
      <w:r>
        <w:rPr>
          <w:rFonts w:ascii="Calibri" w:cs="Calibri" w:eastAsia="Calibri" w:hAnsi="Calibri"/>
          <w:sz w:val="20"/>
          <w:szCs w:val="20"/>
        </w:rPr>
        <w:t xml:space="preserve">Bon de commande pour les commandes opérationnelles (cohérence Bon de Commande HRA).</w:t>
      </w:r>
    </w:p>
    <w:p>
      <w:pPr>
        <w:pStyle w:val="ListParagraph"/>
        <w:numPr>
          <w:ilvl w:val="0"/>
          <w:numId w:val="2"/>
        </w:numPr>
        <w:spacing w:after="60" w:line="260"/>
      </w:pPr>
      <w:r>
        <w:rPr>
          <w:rFonts w:ascii="Calibri" w:cs="Calibri" w:eastAsia="Calibri" w:hAnsi="Calibri"/>
          <w:sz w:val="20"/>
          <w:szCs w:val="20"/>
        </w:rPr>
        <w:t xml:space="preserve">Annexe DPA RGPD si traitement de données personnelles (cohérence DPA Sous-traitance RGPD).</w:t>
      </w:r>
    </w:p>
    <w:p>
      <w:pPr>
        <w:spacing w:after="100" w:before="220"/>
      </w:pPr>
      <w:r>
        <w:rPr>
          <w:rFonts w:ascii="Calibri" w:cs="Calibri" w:eastAsia="Calibri" w:hAnsi="Calibri"/>
          <w:b/>
          <w:bCs/>
          <w:color w:val="E87722"/>
          <w:sz w:val="22"/>
          <w:szCs w:val="22"/>
        </w:rPr>
        <w:t xml:space="preserve">7.2. Engagements de paiement</w:t>
      </w:r>
    </w:p>
    <w:p>
      <w:pPr>
        <w:pStyle w:val="ListParagraph"/>
        <w:numPr>
          <w:ilvl w:val="0"/>
          <w:numId w:val="2"/>
        </w:numPr>
        <w:spacing w:after="60" w:line="260"/>
      </w:pPr>
      <w:r>
        <w:rPr>
          <w:rFonts w:ascii="Calibri" w:cs="Calibri" w:eastAsia="Calibri" w:hAnsi="Calibri"/>
          <w:sz w:val="20"/>
          <w:szCs w:val="20"/>
        </w:rPr>
        <w:t xml:space="preserve">Paiement à 30 jours fin de mois (loi LME — Code de commerce L441-10).</w:t>
      </w:r>
    </w:p>
    <w:p>
      <w:pPr>
        <w:pStyle w:val="ListParagraph"/>
        <w:numPr>
          <w:ilvl w:val="0"/>
          <w:numId w:val="2"/>
        </w:numPr>
        <w:spacing w:after="60" w:line="260"/>
      </w:pPr>
      <w:r>
        <w:rPr>
          <w:rFonts w:ascii="Calibri" w:cs="Calibri" w:eastAsia="Calibri" w:hAnsi="Calibri"/>
          <w:sz w:val="20"/>
          <w:szCs w:val="20"/>
        </w:rPr>
        <w:t xml:space="preserve">Paiement à 15 jours pour micro-entreprises locales (engagement renforcé Eventy).</w:t>
      </w:r>
    </w:p>
    <w:p>
      <w:pPr>
        <w:pStyle w:val="ListParagraph"/>
        <w:numPr>
          <w:ilvl w:val="0"/>
          <w:numId w:val="2"/>
        </w:numPr>
        <w:spacing w:after="60" w:line="260"/>
      </w:pPr>
      <w:r>
        <w:rPr>
          <w:rFonts w:ascii="Calibri" w:cs="Calibri" w:eastAsia="Calibri" w:hAnsi="Calibri"/>
          <w:sz w:val="20"/>
          <w:szCs w:val="20"/>
        </w:rPr>
        <w:t xml:space="preserve">Aucun retard de paiement injustifié toléré chez Eventy.</w:t>
      </w:r>
    </w:p>
    <w:p>
      <w:pPr>
        <w:pStyle w:val="ListParagraph"/>
        <w:numPr>
          <w:ilvl w:val="0"/>
          <w:numId w:val="2"/>
        </w:numPr>
        <w:spacing w:after="60" w:line="260"/>
      </w:pPr>
      <w:r>
        <w:rPr>
          <w:rFonts w:ascii="Calibri" w:cs="Calibri" w:eastAsia="Calibri" w:hAnsi="Calibri"/>
          <w:sz w:val="20"/>
          <w:szCs w:val="20"/>
        </w:rPr>
        <w:t xml:space="preserve">Indicateur trimestriel de respect des délais de paiement (cible 100 %).</w:t>
      </w:r>
    </w:p>
    <w:p>
      <w:pPr>
        <w:spacing w:after="100" w:before="220"/>
      </w:pPr>
      <w:r>
        <w:rPr>
          <w:rFonts w:ascii="Calibri" w:cs="Calibri" w:eastAsia="Calibri" w:hAnsi="Calibri"/>
          <w:b/>
          <w:bCs/>
          <w:color w:val="E87722"/>
          <w:sz w:val="22"/>
          <w:szCs w:val="22"/>
        </w:rPr>
        <w:t xml:space="preserve">7.3. Anti-corruption</w:t>
      </w:r>
    </w:p>
    <w:p>
      <w:pPr>
        <w:pStyle w:val="ListParagraph"/>
        <w:numPr>
          <w:ilvl w:val="0"/>
          <w:numId w:val="2"/>
        </w:numPr>
        <w:spacing w:after="60" w:line="260"/>
      </w:pPr>
      <w:r>
        <w:rPr>
          <w:rFonts w:ascii="Calibri" w:cs="Calibri" w:eastAsia="Calibri" w:hAnsi="Calibri"/>
          <w:sz w:val="20"/>
          <w:szCs w:val="20"/>
        </w:rPr>
        <w:t xml:space="preserve">Aucun cadeau au moment de la négociation (cohérence Politique conflits d'intérêts).</w:t>
      </w:r>
    </w:p>
    <w:p>
      <w:pPr>
        <w:pStyle w:val="ListParagraph"/>
        <w:numPr>
          <w:ilvl w:val="0"/>
          <w:numId w:val="2"/>
        </w:numPr>
        <w:spacing w:after="60" w:line="260"/>
      </w:pPr>
      <w:r>
        <w:rPr>
          <w:rFonts w:ascii="Calibri" w:cs="Calibri" w:eastAsia="Calibri" w:hAnsi="Calibri"/>
          <w:sz w:val="20"/>
          <w:szCs w:val="20"/>
        </w:rPr>
        <w:t xml:space="preserve">Aucun pot-de-vin, aucune commission occulte.</w:t>
      </w:r>
    </w:p>
    <w:p>
      <w:pPr>
        <w:pStyle w:val="ListParagraph"/>
        <w:numPr>
          <w:ilvl w:val="0"/>
          <w:numId w:val="2"/>
        </w:numPr>
        <w:spacing w:after="60" w:line="260"/>
      </w:pPr>
      <w:r>
        <w:rPr>
          <w:rFonts w:ascii="Calibri" w:cs="Calibri" w:eastAsia="Calibri" w:hAnsi="Calibri"/>
          <w:sz w:val="20"/>
          <w:szCs w:val="20"/>
        </w:rPr>
        <w:t xml:space="preserve">Refus de toute facturation gonflée ou rétro-commission illégale.</w:t>
      </w:r>
    </w:p>
    <w:p>
      <w:pPr>
        <w:spacing w:after="160" w:before="240"/>
      </w:pPr>
      <w:r>
        <w:rPr>
          <w:rFonts w:ascii="Calibri" w:cs="Calibri" w:eastAsia="Calibri" w:hAnsi="Calibri"/>
          <w:b/>
          <w:bCs/>
          <w:color w:val="1F4E79"/>
          <w:sz w:val="32"/>
          <w:szCs w:val="32"/>
        </w:rPr>
        <w:t xml:space="preserve">8. Suivi et amélioration continue</w:t>
      </w:r>
    </w:p>
    <w:p>
      <w:pPr>
        <w:pStyle w:val="ListParagraph"/>
        <w:numPr>
          <w:ilvl w:val="0"/>
          <w:numId w:val="2"/>
        </w:numPr>
        <w:spacing w:after="60" w:line="260"/>
      </w:pPr>
      <w:r>
        <w:rPr>
          <w:rFonts w:ascii="Calibri" w:cs="Calibri" w:eastAsia="Calibri" w:hAnsi="Calibri"/>
          <w:sz w:val="20"/>
          <w:szCs w:val="20"/>
        </w:rPr>
        <w:t xml:space="preserve">Audit annuel des fournisseurs récurrents (cohérence Procédure d'audit qualité HRA).</w:t>
      </w:r>
    </w:p>
    <w:p>
      <w:pPr>
        <w:pStyle w:val="ListParagraph"/>
        <w:numPr>
          <w:ilvl w:val="0"/>
          <w:numId w:val="2"/>
        </w:numPr>
        <w:spacing w:after="60" w:line="260"/>
      </w:pPr>
      <w:r>
        <w:rPr>
          <w:rFonts w:ascii="Calibri" w:cs="Calibri" w:eastAsia="Calibri" w:hAnsi="Calibri"/>
          <w:sz w:val="20"/>
          <w:szCs w:val="20"/>
        </w:rPr>
        <w:t xml:space="preserve">Tableau de bord trimestriel : fournisseurs, volumes, performance RSE, délais de paiement.</w:t>
      </w:r>
    </w:p>
    <w:p>
      <w:pPr>
        <w:pStyle w:val="ListParagraph"/>
        <w:numPr>
          <w:ilvl w:val="0"/>
          <w:numId w:val="2"/>
        </w:numPr>
        <w:spacing w:after="60" w:line="260"/>
      </w:pPr>
      <w:r>
        <w:rPr>
          <w:rFonts w:ascii="Calibri" w:cs="Calibri" w:eastAsia="Calibri" w:hAnsi="Calibri"/>
          <w:sz w:val="20"/>
          <w:szCs w:val="20"/>
        </w:rPr>
        <w:t xml:space="preserve">Plan d'amélioration personnalisé pour les fournisseurs en deçà de 3,5/5.</w:t>
      </w:r>
    </w:p>
    <w:p>
      <w:pPr>
        <w:pStyle w:val="ListParagraph"/>
        <w:numPr>
          <w:ilvl w:val="0"/>
          <w:numId w:val="2"/>
        </w:numPr>
        <w:spacing w:after="60" w:line="260"/>
      </w:pPr>
      <w:r>
        <w:rPr>
          <w:rFonts w:ascii="Calibri" w:cs="Calibri" w:eastAsia="Calibri" w:hAnsi="Calibri"/>
          <w:sz w:val="20"/>
          <w:szCs w:val="20"/>
        </w:rPr>
        <w:t xml:space="preserve">Programme « grow with Eventy » pour accompagner les HRA dans leur transition RSE (An 2-3).</w:t>
      </w:r>
    </w:p>
    <w:p>
      <w:pPr>
        <w:spacing w:after="160" w:before="240"/>
      </w:pPr>
      <w:r>
        <w:rPr>
          <w:rFonts w:ascii="Calibri" w:cs="Calibri" w:eastAsia="Calibri" w:hAnsi="Calibri"/>
          <w:b/>
          <w:bCs/>
          <w:color w:val="1F4E79"/>
          <w:sz w:val="32"/>
          <w:szCs w:val="32"/>
        </w:rPr>
        <w:t xml:space="preserve">9. Indicateurs achats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5</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 du volume d'achats France/Europe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85 %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 HRA avec charte fournisseurs signée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 HRA avec critère RSE ≥ 3/5</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moyen de paiement (jours)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25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 j</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respect engagement 30j fin mois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98 %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Audits fournisseurs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24</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200</w:t>
            </w:r>
          </w:p>
        </w:tc>
      </w:tr>
    </w:tbl>
    <w:p>
      <w:pPr>
        <w:spacing w:after="160" w:before="240"/>
      </w:pPr>
      <w:r>
        <w:rPr>
          <w:rFonts w:ascii="Calibri" w:cs="Calibri" w:eastAsia="Calibri" w:hAnsi="Calibri"/>
          <w:b/>
          <w:bCs/>
          <w:color w:val="1F4E79"/>
          <w:sz w:val="32"/>
          <w:szCs w:val="32"/>
        </w:rPr>
        <w:t xml:space="preserve">10. Cas de désengagement fournisseur</w:t>
      </w:r>
    </w:p>
    <w:p>
      <w:pPr>
        <w:pStyle w:val="ListParagraph"/>
        <w:numPr>
          <w:ilvl w:val="0"/>
          <w:numId w:val="2"/>
        </w:numPr>
        <w:spacing w:after="60" w:line="260"/>
      </w:pPr>
      <w:r>
        <w:rPr>
          <w:rFonts w:ascii="Calibri" w:cs="Calibri" w:eastAsia="Calibri" w:hAnsi="Calibri"/>
          <w:sz w:val="20"/>
          <w:szCs w:val="20"/>
        </w:rPr>
        <w:t xml:space="preserve">Manquement caractérisé à la charte fournisseurs (note &lt; 2/5).</w:t>
      </w:r>
    </w:p>
    <w:p>
      <w:pPr>
        <w:pStyle w:val="ListParagraph"/>
        <w:numPr>
          <w:ilvl w:val="0"/>
          <w:numId w:val="2"/>
        </w:numPr>
        <w:spacing w:after="60" w:line="260"/>
      </w:pPr>
      <w:r>
        <w:rPr>
          <w:rFonts w:ascii="Calibri" w:cs="Calibri" w:eastAsia="Calibri" w:hAnsi="Calibri"/>
          <w:sz w:val="20"/>
          <w:szCs w:val="20"/>
        </w:rPr>
        <w:t xml:space="preserve">Pratique commerciale trompeuse, fausse facture.</w:t>
      </w:r>
    </w:p>
    <w:p>
      <w:pPr>
        <w:pStyle w:val="ListParagraph"/>
        <w:numPr>
          <w:ilvl w:val="0"/>
          <w:numId w:val="2"/>
        </w:numPr>
        <w:spacing w:after="60" w:line="260"/>
      </w:pPr>
      <w:r>
        <w:rPr>
          <w:rFonts w:ascii="Calibri" w:cs="Calibri" w:eastAsia="Calibri" w:hAnsi="Calibri"/>
          <w:sz w:val="20"/>
          <w:szCs w:val="20"/>
        </w:rPr>
        <w:t xml:space="preserve">Manquement éthique grave (corruption, discrimination, harcèlement avéré).</w:t>
      </w:r>
    </w:p>
    <w:p>
      <w:pPr>
        <w:pStyle w:val="ListParagraph"/>
        <w:numPr>
          <w:ilvl w:val="0"/>
          <w:numId w:val="2"/>
        </w:numPr>
        <w:spacing w:after="60" w:line="260"/>
      </w:pPr>
      <w:r>
        <w:rPr>
          <w:rFonts w:ascii="Calibri" w:cs="Calibri" w:eastAsia="Calibri" w:hAnsi="Calibri"/>
          <w:sz w:val="20"/>
          <w:szCs w:val="20"/>
        </w:rPr>
        <w:t xml:space="preserve">Procédure : audit, échange, plan d'action 90 jours, désengagement si non-conformité.</w:t>
      </w:r>
    </w:p>
    <w:p>
      <w:pPr>
        <w:pStyle w:val="ListParagraph"/>
        <w:numPr>
          <w:ilvl w:val="0"/>
          <w:numId w:val="2"/>
        </w:numPr>
        <w:spacing w:after="60" w:line="260"/>
      </w:pPr>
      <w:r>
        <w:rPr>
          <w:rFonts w:ascii="Calibri" w:cs="Calibri" w:eastAsia="Calibri" w:hAnsi="Calibri"/>
          <w:sz w:val="20"/>
          <w:szCs w:val="20"/>
        </w:rPr>
        <w:t xml:space="preserve">Communication respectueuse, sans dénigrement public.</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Politique RSE, Charte fournisseurs, Procédure audit qualité HRA, Charte engagement carbone, Politique anti-corruption, Politique conflits d'intérêts, DPA Sous-traitance RGPD.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achats responsables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d'achats responsables</dc:title>
  <dc:creator>David Eventy — Eventy Life SAS</dc:creator>
  <dc:description>Politique d'achats responsables : critères, fournisseurs, suivi.</dc:description>
  <cp:lastModifiedBy>Un-named</cp:lastModifiedBy>
  <cp:revision>1</cp:revision>
  <dcterms:created xsi:type="dcterms:W3CDTF">2026-05-01T22:38:13.018Z</dcterms:created>
  <dcterms:modified xsi:type="dcterms:W3CDTF">2026-05-01T22:38:13.018Z</dcterms:modified>
</cp:coreProperties>
</file>

<file path=docProps/custom.xml><?xml version="1.0" encoding="utf-8"?>
<Properties xmlns="http://schemas.openxmlformats.org/officeDocument/2006/custom-properties" xmlns:vt="http://schemas.openxmlformats.org/officeDocument/2006/docPropsVTypes"/>
</file>