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GESTION DES NOTES DE FRAIS EVENTY</w:t>
            </w:r>
          </w:p>
          <w:p>
            <w:pPr>
              <w:spacing w:after="0"/>
              <w:jc w:val="center"/>
            </w:pPr>
            <w:r>
              <w:rPr>
                <w:rFonts w:ascii="Calibri" w:cs="Calibri" w:eastAsia="Calibri" w:hAnsi="Calibri"/>
                <w:i/>
                <w:iCs/>
                <w:color w:val="1F4E79"/>
                <w:sz w:val="18"/>
                <w:szCs w:val="18"/>
              </w:rPr>
              <w:t xml:space="preserve">Règles internes de remboursement de frais professionnels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les règles d'EVENTY LIFE SAS en matière de notes de frais professionnels. Elle complète le Plan comptable et processus mensuel, la Politique d'achats responsables, le Plan de mobilité durable et la Politique anti-corruption. Elle s'applique à tous les collaborateurs salariés engageant des frais au nom d'Eventy.</w:t>
      </w:r>
    </w:p>
    <w:p>
      <w:pPr>
        <w:spacing w:after="100" w:line="280"/>
        <w:jc w:val="both"/>
      </w:pPr>
      <w:r>
        <w:rPr>
          <w:rFonts w:ascii="Calibri" w:cs="Calibri" w:eastAsia="Calibri" w:hAnsi="Calibri"/>
          <w:i/>
          <w:iCs/>
          <w:color w:val="1A1A1A"/>
          <w:sz w:val="20"/>
          <w:szCs w:val="20"/>
        </w:rPr>
        <w:t xml:space="preserve">Eventy adopte une approche simple et juste : les frais professionnels engagés sont remboursés rapidement et sans formalités excessives. La transparence et la confiance sont la base — pas le contrôle bureaucratique. En contrepartie, chaque collaborateur engage sa responsabilité sur la sincérité de ses notes de frais.</w:t>
      </w:r>
    </w:p>
    <w:p>
      <w:pPr>
        <w:spacing w:after="160" w:before="240"/>
      </w:pPr>
      <w:r>
        <w:rPr>
          <w:rFonts w:ascii="Calibri" w:cs="Calibri" w:eastAsia="Calibri" w:hAnsi="Calibri"/>
          <w:b/>
          <w:bCs/>
          <w:color w:val="1F4E79"/>
          <w:sz w:val="32"/>
          <w:szCs w:val="32"/>
        </w:rPr>
        <w:t xml:space="preserve">1. Cadre légal de référence</w:t>
      </w:r>
    </w:p>
    <w:p>
      <w:pPr>
        <w:pStyle w:val="ListParagraph"/>
        <w:numPr>
          <w:ilvl w:val="0"/>
          <w:numId w:val="2"/>
        </w:numPr>
        <w:spacing w:after="60" w:line="260"/>
      </w:pPr>
      <w:r>
        <w:rPr>
          <w:rFonts w:ascii="Calibri" w:cs="Calibri" w:eastAsia="Calibri" w:hAnsi="Calibri"/>
          <w:sz w:val="20"/>
          <w:szCs w:val="20"/>
        </w:rPr>
        <w:t xml:space="preserve">Code du travail — articles L3261-1 à L3261-5 (frais professionnels).</w:t>
      </w:r>
    </w:p>
    <w:p>
      <w:pPr>
        <w:pStyle w:val="ListParagraph"/>
        <w:numPr>
          <w:ilvl w:val="0"/>
          <w:numId w:val="2"/>
        </w:numPr>
        <w:spacing w:after="60" w:line="260"/>
      </w:pPr>
      <w:r>
        <w:rPr>
          <w:rFonts w:ascii="Calibri" w:cs="Calibri" w:eastAsia="Calibri" w:hAnsi="Calibri"/>
          <w:sz w:val="20"/>
          <w:szCs w:val="20"/>
        </w:rPr>
        <w:t xml:space="preserve">BOFIP-RSA-CHAMP-20-50-10-20 (régime fiscal des frais professionnels).</w:t>
      </w:r>
    </w:p>
    <w:p>
      <w:pPr>
        <w:pStyle w:val="ListParagraph"/>
        <w:numPr>
          <w:ilvl w:val="0"/>
          <w:numId w:val="2"/>
        </w:numPr>
        <w:spacing w:after="60" w:line="260"/>
      </w:pPr>
      <w:r>
        <w:rPr>
          <w:rFonts w:ascii="Calibri" w:cs="Calibri" w:eastAsia="Calibri" w:hAnsi="Calibri"/>
          <w:sz w:val="20"/>
          <w:szCs w:val="20"/>
        </w:rPr>
        <w:t xml:space="preserve">Plan comptable Eventy (cohérence).</w:t>
      </w:r>
    </w:p>
    <w:p>
      <w:pPr>
        <w:pStyle w:val="ListParagraph"/>
        <w:numPr>
          <w:ilvl w:val="0"/>
          <w:numId w:val="2"/>
        </w:numPr>
        <w:spacing w:after="60" w:line="260"/>
      </w:pPr>
      <w:r>
        <w:rPr>
          <w:rFonts w:ascii="Calibri" w:cs="Calibri" w:eastAsia="Calibri" w:hAnsi="Calibri"/>
          <w:sz w:val="20"/>
          <w:szCs w:val="20"/>
        </w:rPr>
        <w:t xml:space="preserve">Politique anti-corruption Eventy (cohérence).</w:t>
      </w:r>
    </w:p>
    <w:p>
      <w:pPr>
        <w:spacing w:after="160" w:before="240"/>
      </w:pPr>
      <w:r>
        <w:rPr>
          <w:rFonts w:ascii="Calibri" w:cs="Calibri" w:eastAsia="Calibri" w:hAnsi="Calibri"/>
          <w:b/>
          <w:bCs/>
          <w:color w:val="1F4E79"/>
          <w:sz w:val="32"/>
          <w:szCs w:val="32"/>
        </w:rPr>
        <w:t xml:space="preserve">2. Principes directeurs</w:t>
      </w:r>
    </w:p>
    <w:p>
      <w:pPr>
        <w:spacing w:after="100" w:before="220"/>
      </w:pPr>
      <w:r>
        <w:rPr>
          <w:rFonts w:ascii="Calibri" w:cs="Calibri" w:eastAsia="Calibri" w:hAnsi="Calibri"/>
          <w:b/>
          <w:bCs/>
          <w:color w:val="E87722"/>
          <w:sz w:val="22"/>
          <w:szCs w:val="22"/>
        </w:rPr>
        <w:t xml:space="preserve">2.1. Cinq principes</w:t>
      </w:r>
    </w:p>
    <w:p>
      <w:pPr>
        <w:pStyle w:val="ListParagraph"/>
        <w:numPr>
          <w:ilvl w:val="0"/>
          <w:numId w:val="2"/>
        </w:numPr>
        <w:spacing w:after="60" w:line="260"/>
      </w:pPr>
      <w:r>
        <w:rPr>
          <w:rFonts w:ascii="Calibri" w:cs="Calibri" w:eastAsia="Calibri" w:hAnsi="Calibri"/>
          <w:sz w:val="20"/>
          <w:szCs w:val="20"/>
        </w:rPr>
        <w:t xml:space="preserve">Sincérité — déclaration honnête, refus de la fraude.</w:t>
      </w:r>
    </w:p>
    <w:p>
      <w:pPr>
        <w:pStyle w:val="ListParagraph"/>
        <w:numPr>
          <w:ilvl w:val="0"/>
          <w:numId w:val="2"/>
        </w:numPr>
        <w:spacing w:after="60" w:line="260"/>
      </w:pPr>
      <w:r>
        <w:rPr>
          <w:rFonts w:ascii="Calibri" w:cs="Calibri" w:eastAsia="Calibri" w:hAnsi="Calibri"/>
          <w:sz w:val="20"/>
          <w:szCs w:val="20"/>
        </w:rPr>
        <w:t xml:space="preserve">Sobriété — choix raisonnables au regard du marché.</w:t>
      </w:r>
    </w:p>
    <w:p>
      <w:pPr>
        <w:pStyle w:val="ListParagraph"/>
        <w:numPr>
          <w:ilvl w:val="0"/>
          <w:numId w:val="2"/>
        </w:numPr>
        <w:spacing w:after="60" w:line="260"/>
      </w:pPr>
      <w:r>
        <w:rPr>
          <w:rFonts w:ascii="Calibri" w:cs="Calibri" w:eastAsia="Calibri" w:hAnsi="Calibri"/>
          <w:sz w:val="20"/>
          <w:szCs w:val="20"/>
        </w:rPr>
        <w:t xml:space="preserve">Justification — pièce justificative pour chaque frais.</w:t>
      </w:r>
    </w:p>
    <w:p>
      <w:pPr>
        <w:pStyle w:val="ListParagraph"/>
        <w:numPr>
          <w:ilvl w:val="0"/>
          <w:numId w:val="2"/>
        </w:numPr>
        <w:spacing w:after="60" w:line="260"/>
      </w:pPr>
      <w:r>
        <w:rPr>
          <w:rFonts w:ascii="Calibri" w:cs="Calibri" w:eastAsia="Calibri" w:hAnsi="Calibri"/>
          <w:sz w:val="20"/>
          <w:szCs w:val="20"/>
        </w:rPr>
        <w:t xml:space="preserve">Cohérence valeurs — frais alignés avec les engagements Eventy (RSE, mobilité durable).</w:t>
      </w:r>
    </w:p>
    <w:p>
      <w:pPr>
        <w:pStyle w:val="ListParagraph"/>
        <w:numPr>
          <w:ilvl w:val="0"/>
          <w:numId w:val="2"/>
        </w:numPr>
        <w:spacing w:after="60" w:line="260"/>
      </w:pPr>
      <w:r>
        <w:rPr>
          <w:rFonts w:ascii="Calibri" w:cs="Calibri" w:eastAsia="Calibri" w:hAnsi="Calibri"/>
          <w:sz w:val="20"/>
          <w:szCs w:val="20"/>
        </w:rPr>
        <w:t xml:space="preserve">Rapidité — remboursement sous 14 jours.</w:t>
      </w:r>
    </w:p>
    <w:p>
      <w:pPr>
        <w:spacing w:after="100" w:before="220"/>
      </w:pPr>
      <w:r>
        <w:rPr>
          <w:rFonts w:ascii="Calibri" w:cs="Calibri" w:eastAsia="Calibri" w:hAnsi="Calibri"/>
          <w:b/>
          <w:bCs/>
          <w:color w:val="E87722"/>
          <w:sz w:val="22"/>
          <w:szCs w:val="22"/>
        </w:rPr>
        <w:t xml:space="preserve">2.2. Refus structurés</w:t>
      </w:r>
    </w:p>
    <w:p>
      <w:pPr>
        <w:pStyle w:val="ListParagraph"/>
        <w:numPr>
          <w:ilvl w:val="0"/>
          <w:numId w:val="2"/>
        </w:numPr>
        <w:spacing w:after="60" w:line="260"/>
      </w:pPr>
      <w:r>
        <w:rPr>
          <w:rFonts w:ascii="Calibri" w:cs="Calibri" w:eastAsia="Calibri" w:hAnsi="Calibri"/>
          <w:sz w:val="20"/>
          <w:szCs w:val="20"/>
        </w:rPr>
        <w:t xml:space="preserve">Refus des frais somptuaires (vins très chers, restaurants étoilés sans justification).</w:t>
      </w:r>
    </w:p>
    <w:p>
      <w:pPr>
        <w:pStyle w:val="ListParagraph"/>
        <w:numPr>
          <w:ilvl w:val="0"/>
          <w:numId w:val="2"/>
        </w:numPr>
        <w:spacing w:after="60" w:line="260"/>
      </w:pPr>
      <w:r>
        <w:rPr>
          <w:rFonts w:ascii="Calibri" w:cs="Calibri" w:eastAsia="Calibri" w:hAnsi="Calibri"/>
          <w:sz w:val="20"/>
          <w:szCs w:val="20"/>
        </w:rPr>
        <w:t xml:space="preserve">Refus du remboursement à crédit illimité.</w:t>
      </w:r>
    </w:p>
    <w:p>
      <w:pPr>
        <w:pStyle w:val="ListParagraph"/>
        <w:numPr>
          <w:ilvl w:val="0"/>
          <w:numId w:val="2"/>
        </w:numPr>
        <w:spacing w:after="60" w:line="260"/>
      </w:pPr>
      <w:r>
        <w:rPr>
          <w:rFonts w:ascii="Calibri" w:cs="Calibri" w:eastAsia="Calibri" w:hAnsi="Calibri"/>
          <w:sz w:val="20"/>
          <w:szCs w:val="20"/>
        </w:rPr>
        <w:t xml:space="preserve">Refus de la fraude (fausse facture, frais privés requalifiés en pro).</w:t>
      </w:r>
    </w:p>
    <w:p>
      <w:pPr>
        <w:pStyle w:val="ListParagraph"/>
        <w:numPr>
          <w:ilvl w:val="0"/>
          <w:numId w:val="2"/>
        </w:numPr>
        <w:spacing w:after="60" w:line="260"/>
      </w:pPr>
      <w:r>
        <w:rPr>
          <w:rFonts w:ascii="Calibri" w:cs="Calibri" w:eastAsia="Calibri" w:hAnsi="Calibri"/>
          <w:sz w:val="20"/>
          <w:szCs w:val="20"/>
        </w:rPr>
        <w:t xml:space="preserve">Refus du remboursement de frais de complaisance ou de cadeaux non autorisés (cohérence Politique anti-corruption).</w:t>
      </w:r>
    </w:p>
    <w:p>
      <w:pPr>
        <w:pStyle w:val="ListParagraph"/>
        <w:numPr>
          <w:ilvl w:val="0"/>
          <w:numId w:val="2"/>
        </w:numPr>
        <w:spacing w:after="60" w:line="260"/>
      </w:pPr>
      <w:r>
        <w:rPr>
          <w:rFonts w:ascii="Calibri" w:cs="Calibri" w:eastAsia="Calibri" w:hAnsi="Calibri"/>
          <w:sz w:val="20"/>
          <w:szCs w:val="20"/>
        </w:rPr>
        <w:t xml:space="preserve">Refus du remboursement de frais personnels (smoking, vacances, parfums...).</w:t>
      </w:r>
    </w:p>
    <w:p>
      <w:pPr>
        <w:spacing w:after="160" w:before="240"/>
      </w:pPr>
      <w:r>
        <w:rPr>
          <w:rFonts w:ascii="Calibri" w:cs="Calibri" w:eastAsia="Calibri" w:hAnsi="Calibri"/>
          <w:b/>
          <w:bCs/>
          <w:color w:val="1F4E79"/>
          <w:sz w:val="32"/>
          <w:szCs w:val="32"/>
        </w:rPr>
        <w:t xml:space="preserve">3. Catégories de frais remboursables</w:t>
      </w:r>
    </w:p>
    <w:p>
      <w:pPr>
        <w:spacing w:after="100" w:before="220"/>
      </w:pPr>
      <w:r>
        <w:rPr>
          <w:rFonts w:ascii="Calibri" w:cs="Calibri" w:eastAsia="Calibri" w:hAnsi="Calibri"/>
          <w:b/>
          <w:bCs/>
          <w:color w:val="E87722"/>
          <w:sz w:val="22"/>
          <w:szCs w:val="22"/>
        </w:rPr>
        <w:t xml:space="preserve">3.1. Frais de transport professionnel</w:t>
      </w:r>
    </w:p>
    <w:p>
      <w:pPr>
        <w:pStyle w:val="ListParagraph"/>
        <w:numPr>
          <w:ilvl w:val="0"/>
          <w:numId w:val="2"/>
        </w:numPr>
        <w:spacing w:after="60" w:line="260"/>
      </w:pPr>
      <w:r>
        <w:rPr>
          <w:rFonts w:ascii="Calibri" w:cs="Calibri" w:eastAsia="Calibri" w:hAnsi="Calibri"/>
          <w:sz w:val="20"/>
          <w:szCs w:val="20"/>
        </w:rPr>
        <w:t xml:space="preserve">Train (privilégier 2e classe sauf trajets &gt; 4 h justifiés).</w:t>
      </w:r>
    </w:p>
    <w:p>
      <w:pPr>
        <w:pStyle w:val="ListParagraph"/>
        <w:numPr>
          <w:ilvl w:val="0"/>
          <w:numId w:val="2"/>
        </w:numPr>
        <w:spacing w:after="60" w:line="260"/>
      </w:pPr>
      <w:r>
        <w:rPr>
          <w:rFonts w:ascii="Calibri" w:cs="Calibri" w:eastAsia="Calibri" w:hAnsi="Calibri"/>
          <w:sz w:val="20"/>
          <w:szCs w:val="20"/>
        </w:rPr>
        <w:t xml:space="preserve">Vol (uniquement si train &gt; 4 h, classe économique).</w:t>
      </w:r>
    </w:p>
    <w:p>
      <w:pPr>
        <w:pStyle w:val="ListParagraph"/>
        <w:numPr>
          <w:ilvl w:val="0"/>
          <w:numId w:val="2"/>
        </w:numPr>
        <w:spacing w:after="60" w:line="260"/>
      </w:pPr>
      <w:r>
        <w:rPr>
          <w:rFonts w:ascii="Calibri" w:cs="Calibri" w:eastAsia="Calibri" w:hAnsi="Calibri"/>
          <w:sz w:val="20"/>
          <w:szCs w:val="20"/>
        </w:rPr>
        <w:t xml:space="preserve">Voiture personnelle : barème kilométrique fiscal (hors agglomération).</w:t>
      </w:r>
    </w:p>
    <w:p>
      <w:pPr>
        <w:pStyle w:val="ListParagraph"/>
        <w:numPr>
          <w:ilvl w:val="0"/>
          <w:numId w:val="2"/>
        </w:numPr>
        <w:spacing w:after="60" w:line="260"/>
      </w:pPr>
      <w:r>
        <w:rPr>
          <w:rFonts w:ascii="Calibri" w:cs="Calibri" w:eastAsia="Calibri" w:hAnsi="Calibri"/>
          <w:sz w:val="20"/>
          <w:szCs w:val="20"/>
        </w:rPr>
        <w:t xml:space="preserve">Taxi / VTC (justifié, pas de Uber Premium / Berline sauf nécessité).</w:t>
      </w:r>
    </w:p>
    <w:p>
      <w:pPr>
        <w:pStyle w:val="ListParagraph"/>
        <w:numPr>
          <w:ilvl w:val="0"/>
          <w:numId w:val="2"/>
        </w:numPr>
        <w:spacing w:after="60" w:line="260"/>
      </w:pPr>
      <w:r>
        <w:rPr>
          <w:rFonts w:ascii="Calibri" w:cs="Calibri" w:eastAsia="Calibri" w:hAnsi="Calibri"/>
          <w:sz w:val="20"/>
          <w:szCs w:val="20"/>
        </w:rPr>
        <w:t xml:space="preserve">Transports en commun (toujours préférés en zone urbaine).</w:t>
      </w:r>
    </w:p>
    <w:p>
      <w:pPr>
        <w:pStyle w:val="ListParagraph"/>
        <w:numPr>
          <w:ilvl w:val="0"/>
          <w:numId w:val="2"/>
        </w:numPr>
        <w:spacing w:after="60" w:line="260"/>
      </w:pPr>
      <w:r>
        <w:rPr>
          <w:rFonts w:ascii="Calibri" w:cs="Calibri" w:eastAsia="Calibri" w:hAnsi="Calibri"/>
          <w:sz w:val="20"/>
          <w:szCs w:val="20"/>
        </w:rPr>
        <w:t xml:space="preserve">Parking et péages (justifiés).</w:t>
      </w:r>
    </w:p>
    <w:p>
      <w:pPr>
        <w:pStyle w:val="ListParagraph"/>
        <w:numPr>
          <w:ilvl w:val="0"/>
          <w:numId w:val="2"/>
        </w:numPr>
        <w:spacing w:after="60" w:line="260"/>
      </w:pPr>
      <w:r>
        <w:rPr>
          <w:rFonts w:ascii="Calibri" w:cs="Calibri" w:eastAsia="Calibri" w:hAnsi="Calibri"/>
          <w:sz w:val="20"/>
          <w:szCs w:val="20"/>
        </w:rPr>
        <w:t xml:space="preserve">Cohérence Plan de mobilité durable.</w:t>
      </w:r>
    </w:p>
    <w:p>
      <w:pPr>
        <w:spacing w:after="100" w:before="220"/>
      </w:pPr>
      <w:r>
        <w:rPr>
          <w:rFonts w:ascii="Calibri" w:cs="Calibri" w:eastAsia="Calibri" w:hAnsi="Calibri"/>
          <w:b/>
          <w:bCs/>
          <w:color w:val="E87722"/>
          <w:sz w:val="22"/>
          <w:szCs w:val="22"/>
        </w:rPr>
        <w:t xml:space="preserve">3.2. Frais d'hébergement</w:t>
      </w:r>
    </w:p>
    <w:p>
      <w:pPr>
        <w:pStyle w:val="ListParagraph"/>
        <w:numPr>
          <w:ilvl w:val="0"/>
          <w:numId w:val="2"/>
        </w:numPr>
        <w:spacing w:after="60" w:line="260"/>
      </w:pPr>
      <w:r>
        <w:rPr>
          <w:rFonts w:ascii="Calibri" w:cs="Calibri" w:eastAsia="Calibri" w:hAnsi="Calibri"/>
          <w:sz w:val="20"/>
          <w:szCs w:val="20"/>
        </w:rPr>
        <w:t xml:space="preserve">Hôtel ≤ 4* en France, ≤ 5* à l'étranger (selon contexte).</w:t>
      </w:r>
    </w:p>
    <w:p>
      <w:pPr>
        <w:pStyle w:val="ListParagraph"/>
        <w:numPr>
          <w:ilvl w:val="0"/>
          <w:numId w:val="2"/>
        </w:numPr>
        <w:spacing w:after="60" w:line="260"/>
      </w:pPr>
      <w:r>
        <w:rPr>
          <w:rFonts w:ascii="Calibri" w:cs="Calibri" w:eastAsia="Calibri" w:hAnsi="Calibri"/>
          <w:sz w:val="20"/>
          <w:szCs w:val="20"/>
        </w:rPr>
        <w:t xml:space="preserve">Plafond indicatif : 150 €/nuit Paris, 120 €/nuit province, ajusté à l'étranger.</w:t>
      </w:r>
    </w:p>
    <w:p>
      <w:pPr>
        <w:pStyle w:val="ListParagraph"/>
        <w:numPr>
          <w:ilvl w:val="0"/>
          <w:numId w:val="2"/>
        </w:numPr>
        <w:spacing w:after="60" w:line="260"/>
      </w:pPr>
      <w:r>
        <w:rPr>
          <w:rFonts w:ascii="Calibri" w:cs="Calibri" w:eastAsia="Calibri" w:hAnsi="Calibri"/>
          <w:sz w:val="20"/>
          <w:szCs w:val="20"/>
        </w:rPr>
        <w:t xml:space="preserve">Préférence pour établissements certifiés énergétiquement (cohérence Charte engagement carbone).</w:t>
      </w:r>
    </w:p>
    <w:p>
      <w:pPr>
        <w:pStyle w:val="ListParagraph"/>
        <w:numPr>
          <w:ilvl w:val="0"/>
          <w:numId w:val="2"/>
        </w:numPr>
        <w:spacing w:after="60" w:line="260"/>
      </w:pPr>
      <w:r>
        <w:rPr>
          <w:rFonts w:ascii="Calibri" w:cs="Calibri" w:eastAsia="Calibri" w:hAnsi="Calibri"/>
          <w:sz w:val="20"/>
          <w:szCs w:val="20"/>
        </w:rPr>
        <w:t xml:space="preserve">Refus de Airbnb sauf situation justifiée.</w:t>
      </w:r>
    </w:p>
    <w:p>
      <w:pPr>
        <w:spacing w:after="100" w:before="220"/>
      </w:pPr>
      <w:r>
        <w:rPr>
          <w:rFonts w:ascii="Calibri" w:cs="Calibri" w:eastAsia="Calibri" w:hAnsi="Calibri"/>
          <w:b/>
          <w:bCs/>
          <w:color w:val="E87722"/>
          <w:sz w:val="22"/>
          <w:szCs w:val="22"/>
        </w:rPr>
        <w:t xml:space="preserve">3.3. Frais de restauration</w:t>
      </w:r>
    </w:p>
    <w:p>
      <w:pPr>
        <w:pStyle w:val="ListParagraph"/>
        <w:numPr>
          <w:ilvl w:val="0"/>
          <w:numId w:val="2"/>
        </w:numPr>
        <w:spacing w:after="60" w:line="260"/>
      </w:pPr>
      <w:r>
        <w:rPr>
          <w:rFonts w:ascii="Calibri" w:cs="Calibri" w:eastAsia="Calibri" w:hAnsi="Calibri"/>
          <w:sz w:val="20"/>
          <w:szCs w:val="20"/>
        </w:rPr>
        <w:t xml:space="preserve">Repas pris en déplacement (≤ 25 € midi, ≤ 35 € soir).</w:t>
      </w:r>
    </w:p>
    <w:p>
      <w:pPr>
        <w:pStyle w:val="ListParagraph"/>
        <w:numPr>
          <w:ilvl w:val="0"/>
          <w:numId w:val="2"/>
        </w:numPr>
        <w:spacing w:after="60" w:line="260"/>
      </w:pPr>
      <w:r>
        <w:rPr>
          <w:rFonts w:ascii="Calibri" w:cs="Calibri" w:eastAsia="Calibri" w:hAnsi="Calibri"/>
          <w:sz w:val="20"/>
          <w:szCs w:val="20"/>
        </w:rPr>
        <w:t xml:space="preserve">Repas client : justification du contexte (qui, pourquoi, plafond 60 €/personne).</w:t>
      </w:r>
    </w:p>
    <w:p>
      <w:pPr>
        <w:pStyle w:val="ListParagraph"/>
        <w:numPr>
          <w:ilvl w:val="0"/>
          <w:numId w:val="2"/>
        </w:numPr>
        <w:spacing w:after="60" w:line="260"/>
      </w:pPr>
      <w:r>
        <w:rPr>
          <w:rFonts w:ascii="Calibri" w:cs="Calibri" w:eastAsia="Calibri" w:hAnsi="Calibri"/>
          <w:sz w:val="20"/>
          <w:szCs w:val="20"/>
        </w:rPr>
        <w:t xml:space="preserve">Pourboires inclus (jusqu'à 10 % en France, plus à l'international selon usage).</w:t>
      </w:r>
    </w:p>
    <w:p>
      <w:pPr>
        <w:pStyle w:val="ListParagraph"/>
        <w:numPr>
          <w:ilvl w:val="0"/>
          <w:numId w:val="2"/>
        </w:numPr>
        <w:spacing w:after="60" w:line="260"/>
      </w:pPr>
      <w:r>
        <w:rPr>
          <w:rFonts w:ascii="Calibri" w:cs="Calibri" w:eastAsia="Calibri" w:hAnsi="Calibri"/>
          <w:sz w:val="20"/>
          <w:szCs w:val="20"/>
        </w:rPr>
        <w:t xml:space="preserve">Refus alcools forts en repas client (cohérence sobriété).</w:t>
      </w:r>
    </w:p>
    <w:p>
      <w:pPr>
        <w:spacing w:after="100" w:before="220"/>
      </w:pPr>
      <w:r>
        <w:rPr>
          <w:rFonts w:ascii="Calibri" w:cs="Calibri" w:eastAsia="Calibri" w:hAnsi="Calibri"/>
          <w:b/>
          <w:bCs/>
          <w:color w:val="E87722"/>
          <w:sz w:val="22"/>
          <w:szCs w:val="22"/>
        </w:rPr>
        <w:t xml:space="preserve">3.4. Frais télécom</w:t>
      </w:r>
    </w:p>
    <w:p>
      <w:pPr>
        <w:pStyle w:val="ListParagraph"/>
        <w:numPr>
          <w:ilvl w:val="0"/>
          <w:numId w:val="2"/>
        </w:numPr>
        <w:spacing w:after="60" w:line="260"/>
      </w:pPr>
      <w:r>
        <w:rPr>
          <w:rFonts w:ascii="Calibri" w:cs="Calibri" w:eastAsia="Calibri" w:hAnsi="Calibri"/>
          <w:sz w:val="20"/>
          <w:szCs w:val="20"/>
        </w:rPr>
        <w:t xml:space="preserve">Forfait téléphonique professionnel pris en charge.</w:t>
      </w:r>
    </w:p>
    <w:p>
      <w:pPr>
        <w:pStyle w:val="ListParagraph"/>
        <w:numPr>
          <w:ilvl w:val="0"/>
          <w:numId w:val="2"/>
        </w:numPr>
        <w:spacing w:after="60" w:line="260"/>
      </w:pPr>
      <w:r>
        <w:rPr>
          <w:rFonts w:ascii="Calibri" w:cs="Calibri" w:eastAsia="Calibri" w:hAnsi="Calibri"/>
          <w:sz w:val="20"/>
          <w:szCs w:val="20"/>
        </w:rPr>
        <w:t xml:space="preserve">Itinérance internationale justifiée.</w:t>
      </w:r>
    </w:p>
    <w:p>
      <w:pPr>
        <w:pStyle w:val="ListParagraph"/>
        <w:numPr>
          <w:ilvl w:val="0"/>
          <w:numId w:val="2"/>
        </w:numPr>
        <w:spacing w:after="60" w:line="260"/>
      </w:pPr>
      <w:r>
        <w:rPr>
          <w:rFonts w:ascii="Calibri" w:cs="Calibri" w:eastAsia="Calibri" w:hAnsi="Calibri"/>
          <w:sz w:val="20"/>
          <w:szCs w:val="20"/>
        </w:rPr>
        <w:t xml:space="preserve">Refus du forfait excessif sans usage proportionné.</w:t>
      </w:r>
    </w:p>
    <w:p>
      <w:pPr>
        <w:spacing w:after="100" w:before="220"/>
      </w:pPr>
      <w:r>
        <w:rPr>
          <w:rFonts w:ascii="Calibri" w:cs="Calibri" w:eastAsia="Calibri" w:hAnsi="Calibri"/>
          <w:b/>
          <w:bCs/>
          <w:color w:val="E87722"/>
          <w:sz w:val="22"/>
          <w:szCs w:val="22"/>
        </w:rPr>
        <w:t xml:space="preserve">3.5. Fournitures et matériel</w:t>
      </w:r>
    </w:p>
    <w:p>
      <w:pPr>
        <w:pStyle w:val="ListParagraph"/>
        <w:numPr>
          <w:ilvl w:val="0"/>
          <w:numId w:val="2"/>
        </w:numPr>
        <w:spacing w:after="60" w:line="260"/>
      </w:pPr>
      <w:r>
        <w:rPr>
          <w:rFonts w:ascii="Calibri" w:cs="Calibri" w:eastAsia="Calibri" w:hAnsi="Calibri"/>
          <w:sz w:val="20"/>
          <w:szCs w:val="20"/>
        </w:rPr>
        <w:t xml:space="preserve">Fournitures bureau (papeterie, etc.).</w:t>
      </w:r>
    </w:p>
    <w:p>
      <w:pPr>
        <w:pStyle w:val="ListParagraph"/>
        <w:numPr>
          <w:ilvl w:val="0"/>
          <w:numId w:val="2"/>
        </w:numPr>
        <w:spacing w:after="60" w:line="260"/>
      </w:pPr>
      <w:r>
        <w:rPr>
          <w:rFonts w:ascii="Calibri" w:cs="Calibri" w:eastAsia="Calibri" w:hAnsi="Calibri"/>
          <w:sz w:val="20"/>
          <w:szCs w:val="20"/>
        </w:rPr>
        <w:t xml:space="preserve">Petit matériel professionnel (souris, casque, etc.).</w:t>
      </w:r>
    </w:p>
    <w:p>
      <w:pPr>
        <w:pStyle w:val="ListParagraph"/>
        <w:numPr>
          <w:ilvl w:val="0"/>
          <w:numId w:val="2"/>
        </w:numPr>
        <w:spacing w:after="60" w:line="260"/>
      </w:pPr>
      <w:r>
        <w:rPr>
          <w:rFonts w:ascii="Calibri" w:cs="Calibri" w:eastAsia="Calibri" w:hAnsi="Calibri"/>
          <w:sz w:val="20"/>
          <w:szCs w:val="20"/>
        </w:rPr>
        <w:t xml:space="preserve">Au-delà de 200 € : achat via Eventy directement, pas en note de frais.</w:t>
      </w:r>
    </w:p>
    <w:p>
      <w:pPr>
        <w:spacing w:after="100" w:before="220"/>
      </w:pPr>
      <w:r>
        <w:rPr>
          <w:rFonts w:ascii="Calibri" w:cs="Calibri" w:eastAsia="Calibri" w:hAnsi="Calibri"/>
          <w:b/>
          <w:bCs/>
          <w:color w:val="E87722"/>
          <w:sz w:val="22"/>
          <w:szCs w:val="22"/>
        </w:rPr>
        <w:t xml:space="preserve">3.6. Conférences et formations</w:t>
      </w:r>
    </w:p>
    <w:p>
      <w:pPr>
        <w:pStyle w:val="ListParagraph"/>
        <w:numPr>
          <w:ilvl w:val="0"/>
          <w:numId w:val="2"/>
        </w:numPr>
        <w:spacing w:after="60" w:line="260"/>
      </w:pPr>
      <w:r>
        <w:rPr>
          <w:rFonts w:ascii="Calibri" w:cs="Calibri" w:eastAsia="Calibri" w:hAnsi="Calibri"/>
          <w:sz w:val="20"/>
          <w:szCs w:val="20"/>
        </w:rPr>
        <w:t xml:space="preserve">Inscription à conférences professionnelles (cohérence Plan de formation interne).</w:t>
      </w:r>
    </w:p>
    <w:p>
      <w:pPr>
        <w:pStyle w:val="ListParagraph"/>
        <w:numPr>
          <w:ilvl w:val="0"/>
          <w:numId w:val="2"/>
        </w:numPr>
        <w:spacing w:after="60" w:line="260"/>
      </w:pPr>
      <w:r>
        <w:rPr>
          <w:rFonts w:ascii="Calibri" w:cs="Calibri" w:eastAsia="Calibri" w:hAnsi="Calibri"/>
          <w:sz w:val="20"/>
          <w:szCs w:val="20"/>
        </w:rPr>
        <w:t xml:space="preserve">Frais de déplacement et hébergement associés.</w:t>
      </w:r>
    </w:p>
    <w:p>
      <w:pPr>
        <w:pStyle w:val="ListParagraph"/>
        <w:numPr>
          <w:ilvl w:val="0"/>
          <w:numId w:val="2"/>
        </w:numPr>
        <w:spacing w:after="60" w:line="260"/>
      </w:pPr>
      <w:r>
        <w:rPr>
          <w:rFonts w:ascii="Calibri" w:cs="Calibri" w:eastAsia="Calibri" w:hAnsi="Calibri"/>
          <w:sz w:val="20"/>
          <w:szCs w:val="20"/>
        </w:rPr>
        <w:t xml:space="preserve">Validation préalable du Président pour &gt; 500 €.</w:t>
      </w:r>
    </w:p>
    <w:p>
      <w:pPr>
        <w:spacing w:after="160" w:before="240"/>
      </w:pPr>
      <w:r>
        <w:rPr>
          <w:rFonts w:ascii="Calibri" w:cs="Calibri" w:eastAsia="Calibri" w:hAnsi="Calibri"/>
          <w:b/>
          <w:bCs/>
          <w:color w:val="1F4E79"/>
          <w:sz w:val="32"/>
          <w:szCs w:val="32"/>
        </w:rPr>
        <w:t xml:space="preserve">4. Modalités de soumission</w:t>
      </w:r>
    </w:p>
    <w:p>
      <w:pPr>
        <w:spacing w:after="100" w:before="220"/>
      </w:pPr>
      <w:r>
        <w:rPr>
          <w:rFonts w:ascii="Calibri" w:cs="Calibri" w:eastAsia="Calibri" w:hAnsi="Calibri"/>
          <w:b/>
          <w:bCs/>
          <w:color w:val="E87722"/>
          <w:sz w:val="22"/>
          <w:szCs w:val="22"/>
        </w:rPr>
        <w:t xml:space="preserve">4.1. Outil</w:t>
      </w:r>
    </w:p>
    <w:p>
      <w:pPr>
        <w:pStyle w:val="ListParagraph"/>
        <w:numPr>
          <w:ilvl w:val="0"/>
          <w:numId w:val="2"/>
        </w:numPr>
        <w:spacing w:after="60" w:line="260"/>
      </w:pPr>
      <w:r>
        <w:rPr>
          <w:rFonts w:ascii="Calibri" w:cs="Calibri" w:eastAsia="Calibri" w:hAnsi="Calibri"/>
          <w:sz w:val="20"/>
          <w:szCs w:val="20"/>
        </w:rPr>
        <w:t xml:space="preserve">Outil dédié : Pennylane, Tiime, Spendesk ou équivalent (à confirmer avec expert-comptable).</w:t>
      </w:r>
    </w:p>
    <w:p>
      <w:pPr>
        <w:pStyle w:val="ListParagraph"/>
        <w:numPr>
          <w:ilvl w:val="0"/>
          <w:numId w:val="2"/>
        </w:numPr>
        <w:spacing w:after="60" w:line="260"/>
      </w:pPr>
      <w:r>
        <w:rPr>
          <w:rFonts w:ascii="Calibri" w:cs="Calibri" w:eastAsia="Calibri" w:hAnsi="Calibri"/>
          <w:sz w:val="20"/>
          <w:szCs w:val="20"/>
        </w:rPr>
        <w:t xml:space="preserve">Cohérence avec Plan comptable et processus mensuel.</w:t>
      </w:r>
    </w:p>
    <w:p>
      <w:pPr>
        <w:pStyle w:val="ListParagraph"/>
        <w:numPr>
          <w:ilvl w:val="0"/>
          <w:numId w:val="2"/>
        </w:numPr>
        <w:spacing w:after="60" w:line="260"/>
      </w:pPr>
      <w:r>
        <w:rPr>
          <w:rFonts w:ascii="Calibri" w:cs="Calibri" w:eastAsia="Calibri" w:hAnsi="Calibri"/>
          <w:sz w:val="20"/>
          <w:szCs w:val="20"/>
        </w:rPr>
        <w:t xml:space="preserve">Refus de la note de frais Excel manuelle (perte de temps).</w:t>
      </w:r>
    </w:p>
    <w:p>
      <w:pPr>
        <w:spacing w:after="100" w:before="220"/>
      </w:pPr>
      <w:r>
        <w:rPr>
          <w:rFonts w:ascii="Calibri" w:cs="Calibri" w:eastAsia="Calibri" w:hAnsi="Calibri"/>
          <w:b/>
          <w:bCs/>
          <w:color w:val="E87722"/>
          <w:sz w:val="22"/>
          <w:szCs w:val="22"/>
        </w:rPr>
        <w:t xml:space="preserve">4.2. Pièces justificatives</w:t>
      </w:r>
    </w:p>
    <w:p>
      <w:pPr>
        <w:pStyle w:val="ListParagraph"/>
        <w:numPr>
          <w:ilvl w:val="0"/>
          <w:numId w:val="2"/>
        </w:numPr>
        <w:spacing w:after="60" w:line="260"/>
      </w:pPr>
      <w:r>
        <w:rPr>
          <w:rFonts w:ascii="Calibri" w:cs="Calibri" w:eastAsia="Calibri" w:hAnsi="Calibri"/>
          <w:sz w:val="20"/>
          <w:szCs w:val="20"/>
        </w:rPr>
        <w:t xml:space="preserve">Tout frais ≥ 1 € : justificatif obligatoire (facture, ticket, photo).</w:t>
      </w:r>
    </w:p>
    <w:p>
      <w:pPr>
        <w:pStyle w:val="ListParagraph"/>
        <w:numPr>
          <w:ilvl w:val="0"/>
          <w:numId w:val="2"/>
        </w:numPr>
        <w:spacing w:after="60" w:line="260"/>
      </w:pPr>
      <w:r>
        <w:rPr>
          <w:rFonts w:ascii="Calibri" w:cs="Calibri" w:eastAsia="Calibri" w:hAnsi="Calibri"/>
          <w:sz w:val="20"/>
          <w:szCs w:val="20"/>
        </w:rPr>
        <w:t xml:space="preserve">Justificatif lisible (montant, date, fournisseur).</w:t>
      </w:r>
    </w:p>
    <w:p>
      <w:pPr>
        <w:pStyle w:val="ListParagraph"/>
        <w:numPr>
          <w:ilvl w:val="0"/>
          <w:numId w:val="2"/>
        </w:numPr>
        <w:spacing w:after="60" w:line="260"/>
      </w:pPr>
      <w:r>
        <w:rPr>
          <w:rFonts w:ascii="Calibri" w:cs="Calibri" w:eastAsia="Calibri" w:hAnsi="Calibri"/>
          <w:sz w:val="20"/>
          <w:szCs w:val="20"/>
        </w:rPr>
        <w:t xml:space="preserve">Conservation justificatifs 6 ans (cohérence comptable).</w:t>
      </w:r>
    </w:p>
    <w:p>
      <w:pPr>
        <w:pStyle w:val="ListParagraph"/>
        <w:numPr>
          <w:ilvl w:val="0"/>
          <w:numId w:val="2"/>
        </w:numPr>
        <w:spacing w:after="60" w:line="260"/>
      </w:pPr>
      <w:r>
        <w:rPr>
          <w:rFonts w:ascii="Calibri" w:cs="Calibri" w:eastAsia="Calibri" w:hAnsi="Calibri"/>
          <w:sz w:val="20"/>
          <w:szCs w:val="20"/>
        </w:rPr>
        <w:t xml:space="preserve">Possibilité de scan / photo (e-justificatif accepté).</w:t>
      </w:r>
    </w:p>
    <w:p>
      <w:pPr>
        <w:spacing w:after="100" w:before="220"/>
      </w:pPr>
      <w:r>
        <w:rPr>
          <w:rFonts w:ascii="Calibri" w:cs="Calibri" w:eastAsia="Calibri" w:hAnsi="Calibri"/>
          <w:b/>
          <w:bCs/>
          <w:color w:val="E87722"/>
          <w:sz w:val="22"/>
          <w:szCs w:val="22"/>
        </w:rPr>
        <w:t xml:space="preserve">4.3. Délai de soumission</w:t>
      </w:r>
    </w:p>
    <w:p>
      <w:pPr>
        <w:pStyle w:val="ListParagraph"/>
        <w:numPr>
          <w:ilvl w:val="0"/>
          <w:numId w:val="2"/>
        </w:numPr>
        <w:spacing w:after="60" w:line="260"/>
      </w:pPr>
      <w:r>
        <w:rPr>
          <w:rFonts w:ascii="Calibri" w:cs="Calibri" w:eastAsia="Calibri" w:hAnsi="Calibri"/>
          <w:sz w:val="20"/>
          <w:szCs w:val="20"/>
        </w:rPr>
        <w:t xml:space="preserve">Soumission au plus tard 30 jours après l'engagement de la dépense.</w:t>
      </w:r>
    </w:p>
    <w:p>
      <w:pPr>
        <w:pStyle w:val="ListParagraph"/>
        <w:numPr>
          <w:ilvl w:val="0"/>
          <w:numId w:val="2"/>
        </w:numPr>
        <w:spacing w:after="60" w:line="260"/>
      </w:pPr>
      <w:r>
        <w:rPr>
          <w:rFonts w:ascii="Calibri" w:cs="Calibri" w:eastAsia="Calibri" w:hAnsi="Calibri"/>
          <w:sz w:val="20"/>
          <w:szCs w:val="20"/>
        </w:rPr>
        <w:t xml:space="preserve">Au-delà : justification requise, possibilité de refus.</w:t>
      </w:r>
    </w:p>
    <w:p>
      <w:pPr>
        <w:spacing w:after="160" w:before="240"/>
      </w:pPr>
      <w:r>
        <w:rPr>
          <w:rFonts w:ascii="Calibri" w:cs="Calibri" w:eastAsia="Calibri" w:hAnsi="Calibri"/>
          <w:b/>
          <w:bCs/>
          <w:color w:val="1F4E79"/>
          <w:sz w:val="32"/>
          <w:szCs w:val="32"/>
        </w:rPr>
        <w:t xml:space="preserve">5. Validation et remboursement</w:t>
      </w:r>
    </w:p>
    <w:p>
      <w:pPr>
        <w:spacing w:after="100" w:before="220"/>
      </w:pPr>
      <w:r>
        <w:rPr>
          <w:rFonts w:ascii="Calibri" w:cs="Calibri" w:eastAsia="Calibri" w:hAnsi="Calibri"/>
          <w:b/>
          <w:bCs/>
          <w:color w:val="E87722"/>
          <w:sz w:val="22"/>
          <w:szCs w:val="22"/>
        </w:rPr>
        <w:t xml:space="preserve">5.1. Validation</w:t>
      </w:r>
    </w:p>
    <w:p>
      <w:pPr>
        <w:pStyle w:val="ListParagraph"/>
        <w:numPr>
          <w:ilvl w:val="0"/>
          <w:numId w:val="2"/>
        </w:numPr>
        <w:spacing w:after="60" w:line="260"/>
      </w:pPr>
      <w:r>
        <w:rPr>
          <w:rFonts w:ascii="Calibri" w:cs="Calibri" w:eastAsia="Calibri" w:hAnsi="Calibri"/>
          <w:sz w:val="20"/>
          <w:szCs w:val="20"/>
        </w:rPr>
        <w:t xml:space="preserve">Première validation : manager direct (le cas échéant).</w:t>
      </w:r>
    </w:p>
    <w:p>
      <w:pPr>
        <w:pStyle w:val="ListParagraph"/>
        <w:numPr>
          <w:ilvl w:val="0"/>
          <w:numId w:val="2"/>
        </w:numPr>
        <w:spacing w:after="60" w:line="260"/>
      </w:pPr>
      <w:r>
        <w:rPr>
          <w:rFonts w:ascii="Calibri" w:cs="Calibri" w:eastAsia="Calibri" w:hAnsi="Calibri"/>
          <w:sz w:val="20"/>
          <w:szCs w:val="20"/>
        </w:rPr>
        <w:t xml:space="preserve">Validation Président pour notes &gt; 500 €.</w:t>
      </w:r>
    </w:p>
    <w:p>
      <w:pPr>
        <w:pStyle w:val="ListParagraph"/>
        <w:numPr>
          <w:ilvl w:val="0"/>
          <w:numId w:val="2"/>
        </w:numPr>
        <w:spacing w:after="60" w:line="260"/>
      </w:pPr>
      <w:r>
        <w:rPr>
          <w:rFonts w:ascii="Calibri" w:cs="Calibri" w:eastAsia="Calibri" w:hAnsi="Calibri"/>
          <w:sz w:val="20"/>
          <w:szCs w:val="20"/>
        </w:rPr>
        <w:t xml:space="preserve">Délai de validation : ≤ 7 jours ouvrés.</w:t>
      </w:r>
    </w:p>
    <w:p>
      <w:pPr>
        <w:spacing w:after="100" w:before="220"/>
      </w:pPr>
      <w:r>
        <w:rPr>
          <w:rFonts w:ascii="Calibri" w:cs="Calibri" w:eastAsia="Calibri" w:hAnsi="Calibri"/>
          <w:b/>
          <w:bCs/>
          <w:color w:val="E87722"/>
          <w:sz w:val="22"/>
          <w:szCs w:val="22"/>
        </w:rPr>
        <w:t xml:space="preserve">5.2. Remboursement</w:t>
      </w:r>
    </w:p>
    <w:p>
      <w:pPr>
        <w:pStyle w:val="ListParagraph"/>
        <w:numPr>
          <w:ilvl w:val="0"/>
          <w:numId w:val="2"/>
        </w:numPr>
        <w:spacing w:after="60" w:line="260"/>
      </w:pPr>
      <w:r>
        <w:rPr>
          <w:rFonts w:ascii="Calibri" w:cs="Calibri" w:eastAsia="Calibri" w:hAnsi="Calibri"/>
          <w:sz w:val="20"/>
          <w:szCs w:val="20"/>
        </w:rPr>
        <w:t xml:space="preserve">Versement par virement sous 14 jours après validation.</w:t>
      </w:r>
    </w:p>
    <w:p>
      <w:pPr>
        <w:pStyle w:val="ListParagraph"/>
        <w:numPr>
          <w:ilvl w:val="0"/>
          <w:numId w:val="2"/>
        </w:numPr>
        <w:spacing w:after="60" w:line="260"/>
      </w:pPr>
      <w:r>
        <w:rPr>
          <w:rFonts w:ascii="Calibri" w:cs="Calibri" w:eastAsia="Calibri" w:hAnsi="Calibri"/>
          <w:sz w:val="20"/>
          <w:szCs w:val="20"/>
        </w:rPr>
        <w:t xml:space="preserve">Mention sur fiche de paie ou sur compte distinct selon préférence.</w:t>
      </w:r>
    </w:p>
    <w:p>
      <w:pPr>
        <w:pStyle w:val="ListParagraph"/>
        <w:numPr>
          <w:ilvl w:val="0"/>
          <w:numId w:val="2"/>
        </w:numPr>
        <w:spacing w:after="60" w:line="260"/>
      </w:pPr>
      <w:r>
        <w:rPr>
          <w:rFonts w:ascii="Calibri" w:cs="Calibri" w:eastAsia="Calibri" w:hAnsi="Calibri"/>
          <w:sz w:val="20"/>
          <w:szCs w:val="20"/>
        </w:rPr>
        <w:t xml:space="preserve">Refus motivé écrit en cas de non-validation.</w:t>
      </w:r>
    </w:p>
    <w:p>
      <w:pPr>
        <w:spacing w:after="160" w:before="240"/>
      </w:pPr>
      <w:r>
        <w:rPr>
          <w:rFonts w:ascii="Calibri" w:cs="Calibri" w:eastAsia="Calibri" w:hAnsi="Calibri"/>
          <w:b/>
          <w:bCs/>
          <w:color w:val="1F4E79"/>
          <w:sz w:val="32"/>
          <w:szCs w:val="32"/>
        </w:rPr>
        <w:t xml:space="preserve">6. Frais spécifiques à valider en amont</w:t>
      </w:r>
    </w:p>
    <w:p>
      <w:pPr>
        <w:pStyle w:val="ListParagraph"/>
        <w:numPr>
          <w:ilvl w:val="0"/>
          <w:numId w:val="2"/>
        </w:numPr>
        <w:spacing w:after="60" w:line="260"/>
      </w:pPr>
      <w:r>
        <w:rPr>
          <w:rFonts w:ascii="Calibri" w:cs="Calibri" w:eastAsia="Calibri" w:hAnsi="Calibri"/>
          <w:sz w:val="20"/>
          <w:szCs w:val="20"/>
        </w:rPr>
        <w:t xml:space="preserve">Tout déplacement à l'étranger (validation préalable Président).</w:t>
      </w:r>
    </w:p>
    <w:p>
      <w:pPr>
        <w:pStyle w:val="ListParagraph"/>
        <w:numPr>
          <w:ilvl w:val="0"/>
          <w:numId w:val="2"/>
        </w:numPr>
        <w:spacing w:after="60" w:line="260"/>
      </w:pPr>
      <w:r>
        <w:rPr>
          <w:rFonts w:ascii="Calibri" w:cs="Calibri" w:eastAsia="Calibri" w:hAnsi="Calibri"/>
          <w:sz w:val="20"/>
          <w:szCs w:val="20"/>
        </w:rPr>
        <w:t xml:space="preserve">Conférences ou formations &gt; 500 €.</w:t>
      </w:r>
    </w:p>
    <w:p>
      <w:pPr>
        <w:pStyle w:val="ListParagraph"/>
        <w:numPr>
          <w:ilvl w:val="0"/>
          <w:numId w:val="2"/>
        </w:numPr>
        <w:spacing w:after="60" w:line="260"/>
      </w:pPr>
      <w:r>
        <w:rPr>
          <w:rFonts w:ascii="Calibri" w:cs="Calibri" w:eastAsia="Calibri" w:hAnsi="Calibri"/>
          <w:sz w:val="20"/>
          <w:szCs w:val="20"/>
        </w:rPr>
        <w:t xml:space="preserve">Hébergement &gt; 200 €/nuit.</w:t>
      </w:r>
    </w:p>
    <w:p>
      <w:pPr>
        <w:pStyle w:val="ListParagraph"/>
        <w:numPr>
          <w:ilvl w:val="0"/>
          <w:numId w:val="2"/>
        </w:numPr>
        <w:spacing w:after="60" w:line="260"/>
      </w:pPr>
      <w:r>
        <w:rPr>
          <w:rFonts w:ascii="Calibri" w:cs="Calibri" w:eastAsia="Calibri" w:hAnsi="Calibri"/>
          <w:sz w:val="20"/>
          <w:szCs w:val="20"/>
        </w:rPr>
        <w:t xml:space="preserve">Repas client &gt; 100 €/personne.</w:t>
      </w:r>
    </w:p>
    <w:p>
      <w:pPr>
        <w:pStyle w:val="ListParagraph"/>
        <w:numPr>
          <w:ilvl w:val="0"/>
          <w:numId w:val="2"/>
        </w:numPr>
        <w:spacing w:after="60" w:line="260"/>
      </w:pPr>
      <w:r>
        <w:rPr>
          <w:rFonts w:ascii="Calibri" w:cs="Calibri" w:eastAsia="Calibri" w:hAnsi="Calibri"/>
          <w:sz w:val="20"/>
          <w:szCs w:val="20"/>
        </w:rPr>
        <w:t xml:space="preserve">Tout frais inhabituel.</w:t>
      </w:r>
    </w:p>
    <w:p>
      <w:pPr>
        <w:spacing w:after="160" w:before="240"/>
      </w:pPr>
      <w:r>
        <w:rPr>
          <w:rFonts w:ascii="Calibri" w:cs="Calibri" w:eastAsia="Calibri" w:hAnsi="Calibri"/>
          <w:b/>
          <w:bCs/>
          <w:color w:val="1F4E79"/>
          <w:sz w:val="32"/>
          <w:szCs w:val="32"/>
        </w:rPr>
        <w:t xml:space="preserve">7. Cas particuliers</w:t>
      </w:r>
    </w:p>
    <w:p>
      <w:pPr>
        <w:spacing w:after="100" w:before="220"/>
      </w:pPr>
      <w:r>
        <w:rPr>
          <w:rFonts w:ascii="Calibri" w:cs="Calibri" w:eastAsia="Calibri" w:hAnsi="Calibri"/>
          <w:b/>
          <w:bCs/>
          <w:color w:val="E87722"/>
          <w:sz w:val="22"/>
          <w:szCs w:val="22"/>
        </w:rPr>
        <w:t xml:space="preserve">7.1. Forfait Mobilités Durables (FMD)</w:t>
      </w:r>
    </w:p>
    <w:p>
      <w:pPr>
        <w:pStyle w:val="ListParagraph"/>
        <w:numPr>
          <w:ilvl w:val="0"/>
          <w:numId w:val="2"/>
        </w:numPr>
        <w:spacing w:after="60" w:line="260"/>
      </w:pPr>
      <w:r>
        <w:rPr>
          <w:rFonts w:ascii="Calibri" w:cs="Calibri" w:eastAsia="Calibri" w:hAnsi="Calibri"/>
          <w:sz w:val="20"/>
          <w:szCs w:val="20"/>
        </w:rPr>
        <w:t xml:space="preserve">Cohérence avec Plan de mobilité durable.</w:t>
      </w:r>
    </w:p>
    <w:p>
      <w:pPr>
        <w:pStyle w:val="ListParagraph"/>
        <w:numPr>
          <w:ilvl w:val="0"/>
          <w:numId w:val="2"/>
        </w:numPr>
        <w:spacing w:after="60" w:line="260"/>
      </w:pPr>
      <w:r>
        <w:rPr>
          <w:rFonts w:ascii="Calibri" w:cs="Calibri" w:eastAsia="Calibri" w:hAnsi="Calibri"/>
          <w:sz w:val="20"/>
          <w:szCs w:val="20"/>
        </w:rPr>
        <w:t xml:space="preserve">Forfait jusqu'à 800 €/an exonéré (vélo, covoiturage, transports en commun).</w:t>
      </w:r>
    </w:p>
    <w:p>
      <w:pPr>
        <w:pStyle w:val="ListParagraph"/>
        <w:numPr>
          <w:ilvl w:val="0"/>
          <w:numId w:val="2"/>
        </w:numPr>
        <w:spacing w:after="60" w:line="260"/>
      </w:pPr>
      <w:r>
        <w:rPr>
          <w:rFonts w:ascii="Calibri" w:cs="Calibri" w:eastAsia="Calibri" w:hAnsi="Calibri"/>
          <w:sz w:val="20"/>
          <w:szCs w:val="20"/>
        </w:rPr>
        <w:t xml:space="preserve">Géré séparément des notes de frais classiques.</w:t>
      </w:r>
    </w:p>
    <w:p>
      <w:pPr>
        <w:spacing w:after="100" w:before="220"/>
      </w:pPr>
      <w:r>
        <w:rPr>
          <w:rFonts w:ascii="Calibri" w:cs="Calibri" w:eastAsia="Calibri" w:hAnsi="Calibri"/>
          <w:b/>
          <w:bCs/>
          <w:color w:val="E87722"/>
          <w:sz w:val="22"/>
          <w:szCs w:val="22"/>
        </w:rPr>
        <w:t xml:space="preserve">7.2. Frais de séminaire d'équipe</w:t>
      </w:r>
    </w:p>
    <w:p>
      <w:pPr>
        <w:pStyle w:val="ListParagraph"/>
        <w:numPr>
          <w:ilvl w:val="0"/>
          <w:numId w:val="2"/>
        </w:numPr>
        <w:spacing w:after="60" w:line="260"/>
      </w:pPr>
      <w:r>
        <w:rPr>
          <w:rFonts w:ascii="Calibri" w:cs="Calibri" w:eastAsia="Calibri" w:hAnsi="Calibri"/>
          <w:sz w:val="20"/>
          <w:szCs w:val="20"/>
        </w:rPr>
        <w:t xml:space="preserve">Pris en charge directement par Eventy (pas en note de frais individuelle).</w:t>
      </w:r>
    </w:p>
    <w:p>
      <w:pPr>
        <w:pStyle w:val="ListParagraph"/>
        <w:numPr>
          <w:ilvl w:val="0"/>
          <w:numId w:val="2"/>
        </w:numPr>
        <w:spacing w:after="60" w:line="260"/>
      </w:pPr>
      <w:r>
        <w:rPr>
          <w:rFonts w:ascii="Calibri" w:cs="Calibri" w:eastAsia="Calibri" w:hAnsi="Calibri"/>
          <w:sz w:val="20"/>
          <w:szCs w:val="20"/>
        </w:rPr>
        <w:t xml:space="preserve">Cohérence avec Plan d'événements.</w:t>
      </w:r>
    </w:p>
    <w:p>
      <w:pPr>
        <w:spacing w:after="100" w:before="220"/>
      </w:pPr>
      <w:r>
        <w:rPr>
          <w:rFonts w:ascii="Calibri" w:cs="Calibri" w:eastAsia="Calibri" w:hAnsi="Calibri"/>
          <w:b/>
          <w:bCs/>
          <w:color w:val="E87722"/>
          <w:sz w:val="22"/>
          <w:szCs w:val="22"/>
        </w:rPr>
        <w:t xml:space="preserve">7.3. Frais représentation Président</w:t>
      </w:r>
    </w:p>
    <w:p>
      <w:pPr>
        <w:pStyle w:val="ListParagraph"/>
        <w:numPr>
          <w:ilvl w:val="0"/>
          <w:numId w:val="2"/>
        </w:numPr>
        <w:spacing w:after="60" w:line="260"/>
      </w:pPr>
      <w:r>
        <w:rPr>
          <w:rFonts w:ascii="Calibri" w:cs="Calibri" w:eastAsia="Calibri" w:hAnsi="Calibri"/>
          <w:sz w:val="20"/>
          <w:szCs w:val="20"/>
        </w:rPr>
        <w:t xml:space="preserve">Politique spécifique encadrée par Statuts SAS.</w:t>
      </w:r>
    </w:p>
    <w:p>
      <w:pPr>
        <w:pStyle w:val="ListParagraph"/>
        <w:numPr>
          <w:ilvl w:val="0"/>
          <w:numId w:val="2"/>
        </w:numPr>
        <w:spacing w:after="60" w:line="260"/>
      </w:pPr>
      <w:r>
        <w:rPr>
          <w:rFonts w:ascii="Calibri" w:cs="Calibri" w:eastAsia="Calibri" w:hAnsi="Calibri"/>
          <w:sz w:val="20"/>
          <w:szCs w:val="20"/>
        </w:rPr>
        <w:t xml:space="preserve">Plafond annuel défini par les associés.</w:t>
      </w:r>
    </w:p>
    <w:p>
      <w:pPr>
        <w:pStyle w:val="ListParagraph"/>
        <w:numPr>
          <w:ilvl w:val="0"/>
          <w:numId w:val="2"/>
        </w:numPr>
        <w:spacing w:after="60" w:line="260"/>
      </w:pPr>
      <w:r>
        <w:rPr>
          <w:rFonts w:ascii="Calibri" w:cs="Calibri" w:eastAsia="Calibri" w:hAnsi="Calibri"/>
          <w:sz w:val="20"/>
          <w:szCs w:val="20"/>
        </w:rPr>
        <w:t xml:space="preserve">Justification systématique.</w:t>
      </w:r>
    </w:p>
    <w:p>
      <w:pPr>
        <w:spacing w:after="160" w:before="240"/>
      </w:pPr>
      <w:r>
        <w:rPr>
          <w:rFonts w:ascii="Calibri" w:cs="Calibri" w:eastAsia="Calibri" w:hAnsi="Calibri"/>
          <w:b/>
          <w:bCs/>
          <w:color w:val="1F4E79"/>
          <w:sz w:val="32"/>
          <w:szCs w:val="32"/>
        </w:rPr>
        <w:t xml:space="preserve">8. Sanctions en cas de fraude</w:t>
      </w:r>
    </w:p>
    <w:p>
      <w:pPr>
        <w:pStyle w:val="ListParagraph"/>
        <w:numPr>
          <w:ilvl w:val="0"/>
          <w:numId w:val="2"/>
        </w:numPr>
        <w:spacing w:after="60" w:line="260"/>
      </w:pPr>
      <w:r>
        <w:rPr>
          <w:rFonts w:ascii="Calibri" w:cs="Calibri" w:eastAsia="Calibri" w:hAnsi="Calibri"/>
          <w:sz w:val="20"/>
          <w:szCs w:val="20"/>
        </w:rPr>
        <w:t xml:space="preserve">Note de frais fictive ou gonflée : refus + avertissement.</w:t>
      </w:r>
    </w:p>
    <w:p>
      <w:pPr>
        <w:pStyle w:val="ListParagraph"/>
        <w:numPr>
          <w:ilvl w:val="0"/>
          <w:numId w:val="2"/>
        </w:numPr>
        <w:spacing w:after="60" w:line="260"/>
      </w:pPr>
      <w:r>
        <w:rPr>
          <w:rFonts w:ascii="Calibri" w:cs="Calibri" w:eastAsia="Calibri" w:hAnsi="Calibri"/>
          <w:sz w:val="20"/>
          <w:szCs w:val="20"/>
        </w:rPr>
        <w:t xml:space="preserve">Récidive : sanction disciplinaire.</w:t>
      </w:r>
    </w:p>
    <w:p>
      <w:pPr>
        <w:pStyle w:val="ListParagraph"/>
        <w:numPr>
          <w:ilvl w:val="0"/>
          <w:numId w:val="2"/>
        </w:numPr>
        <w:spacing w:after="60" w:line="260"/>
      </w:pPr>
      <w:r>
        <w:rPr>
          <w:rFonts w:ascii="Calibri" w:cs="Calibri" w:eastAsia="Calibri" w:hAnsi="Calibri"/>
          <w:sz w:val="20"/>
          <w:szCs w:val="20"/>
        </w:rPr>
        <w:t xml:space="preserve">Fraude caractérisée : licenciement pour faute grave + action en justice.</w:t>
      </w:r>
    </w:p>
    <w:p>
      <w:pPr>
        <w:pStyle w:val="ListParagraph"/>
        <w:numPr>
          <w:ilvl w:val="0"/>
          <w:numId w:val="2"/>
        </w:numPr>
        <w:spacing w:after="60" w:line="260"/>
      </w:pPr>
      <w:r>
        <w:rPr>
          <w:rFonts w:ascii="Calibri" w:cs="Calibri" w:eastAsia="Calibri" w:hAnsi="Calibri"/>
          <w:sz w:val="20"/>
          <w:szCs w:val="20"/>
        </w:rPr>
        <w:t xml:space="preserve">Cohérence avec Politique anti-corruption et Procédure de signalement.</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validation moyen (jours)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j</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remboursement (jours)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14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notes de frais avec justificatif</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notes refusées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Frais somptuaires détectés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Coût total NDF / CA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0,8 %</w:t>
            </w:r>
          </w:p>
        </w:tc>
      </w:tr>
    </w:tbl>
    <w:p>
      <w:pPr>
        <w:spacing w:after="160" w:before="240"/>
      </w:pPr>
      <w:r>
        <w:rPr>
          <w:rFonts w:ascii="Calibri" w:cs="Calibri" w:eastAsia="Calibri" w:hAnsi="Calibri"/>
          <w:b/>
          <w:bCs/>
          <w:color w:val="1F4E79"/>
          <w:sz w:val="32"/>
          <w:szCs w:val="32"/>
        </w:rPr>
        <w:t xml:space="preserve">10. Engagements éthiques</w:t>
      </w:r>
    </w:p>
    <w:p>
      <w:pPr>
        <w:pStyle w:val="ListParagraph"/>
        <w:numPr>
          <w:ilvl w:val="0"/>
          <w:numId w:val="2"/>
        </w:numPr>
        <w:spacing w:after="60" w:line="260"/>
      </w:pPr>
      <w:r>
        <w:rPr>
          <w:rFonts w:ascii="Calibri" w:cs="Calibri" w:eastAsia="Calibri" w:hAnsi="Calibri"/>
          <w:sz w:val="20"/>
          <w:szCs w:val="20"/>
        </w:rPr>
        <w:t xml:space="preserve">Confiance par défaut, contrôle léger.</w:t>
      </w:r>
    </w:p>
    <w:p>
      <w:pPr>
        <w:pStyle w:val="ListParagraph"/>
        <w:numPr>
          <w:ilvl w:val="0"/>
          <w:numId w:val="2"/>
        </w:numPr>
        <w:spacing w:after="60" w:line="260"/>
      </w:pPr>
      <w:r>
        <w:rPr>
          <w:rFonts w:ascii="Calibri" w:cs="Calibri" w:eastAsia="Calibri" w:hAnsi="Calibri"/>
          <w:sz w:val="20"/>
          <w:szCs w:val="20"/>
        </w:rPr>
        <w:t xml:space="preserve">Refus de la bureaucratisation des notes de frais.</w:t>
      </w:r>
    </w:p>
    <w:p>
      <w:pPr>
        <w:pStyle w:val="ListParagraph"/>
        <w:numPr>
          <w:ilvl w:val="0"/>
          <w:numId w:val="2"/>
        </w:numPr>
        <w:spacing w:after="60" w:line="260"/>
      </w:pPr>
      <w:r>
        <w:rPr>
          <w:rFonts w:ascii="Calibri" w:cs="Calibri" w:eastAsia="Calibri" w:hAnsi="Calibri"/>
          <w:sz w:val="20"/>
          <w:szCs w:val="20"/>
        </w:rPr>
        <w:t xml:space="preserve">Sincérité absolue (refus de la fraude tolérée).</w:t>
      </w:r>
    </w:p>
    <w:p>
      <w:pPr>
        <w:pStyle w:val="ListParagraph"/>
        <w:numPr>
          <w:ilvl w:val="0"/>
          <w:numId w:val="2"/>
        </w:numPr>
        <w:spacing w:after="60" w:line="260"/>
      </w:pPr>
      <w:r>
        <w:rPr>
          <w:rFonts w:ascii="Calibri" w:cs="Calibri" w:eastAsia="Calibri" w:hAnsi="Calibri"/>
          <w:sz w:val="20"/>
          <w:szCs w:val="20"/>
        </w:rPr>
        <w:t xml:space="preserve">Cohérence avec valeurs RSE (sobriété, mobilité durable).</w:t>
      </w:r>
    </w:p>
    <w:p>
      <w:pPr>
        <w:pStyle w:val="ListParagraph"/>
        <w:numPr>
          <w:ilvl w:val="0"/>
          <w:numId w:val="2"/>
        </w:numPr>
        <w:spacing w:after="60" w:line="260"/>
      </w:pPr>
      <w:r>
        <w:rPr>
          <w:rFonts w:ascii="Calibri" w:cs="Calibri" w:eastAsia="Calibri" w:hAnsi="Calibri"/>
          <w:sz w:val="20"/>
          <w:szCs w:val="20"/>
        </w:rPr>
        <w:t xml:space="preserve">Égalité de traitement (mêmes règles pour tous, dirigeant inclus).</w:t>
      </w:r>
    </w:p>
    <w:p>
      <w:pPr>
        <w:pStyle w:val="ListParagraph"/>
        <w:numPr>
          <w:ilvl w:val="0"/>
          <w:numId w:val="2"/>
        </w:numPr>
        <w:spacing w:after="60" w:line="260"/>
      </w:pPr>
      <w:r>
        <w:rPr>
          <w:rFonts w:ascii="Calibri" w:cs="Calibri" w:eastAsia="Calibri" w:hAnsi="Calibri"/>
          <w:sz w:val="20"/>
          <w:szCs w:val="20"/>
        </w:rPr>
        <w:t xml:space="preserve">Refus de l'avantage en nature non déclaré.</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Plan comptable et processus mensuel, Plan de mobilité durable, Politique d'achats responsables, Politique anti-corruption, Politique conflits d'intérêts, Charte télétravail, Plan de formation interne, Plan d'événements.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notes de frais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gestion des notes de frais</dc:title>
  <dc:creator>David Eventy — Eventy Life SAS</dc:creator>
  <dc:description>Règles internes de remboursement de frais professionnels.</dc:description>
  <cp:lastModifiedBy>Un-named</cp:lastModifiedBy>
  <cp:revision>1</cp:revision>
  <dcterms:created xsi:type="dcterms:W3CDTF">2026-05-02T04:37:36.398Z</dcterms:created>
  <dcterms:modified xsi:type="dcterms:W3CDTF">2026-05-02T04:37:36.398Z</dcterms:modified>
</cp:coreProperties>
</file>

<file path=docProps/custom.xml><?xml version="1.0" encoding="utf-8"?>
<Properties xmlns="http://schemas.openxmlformats.org/officeDocument/2006/custom-properties" xmlns:vt="http://schemas.openxmlformats.org/officeDocument/2006/docPropsVTypes"/>
</file>