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VALORISATION DES DONNÉES EVENTY</w:t>
            </w:r>
          </w:p>
          <w:p>
            <w:pPr>
              <w:spacing w:after="0"/>
              <w:jc w:val="center"/>
            </w:pPr>
            <w:r>
              <w:rPr>
                <w:rFonts w:ascii="Calibri" w:cs="Calibri" w:eastAsia="Calibri" w:hAnsi="Calibri"/>
                <w:i/>
                <w:iCs/>
                <w:color w:val="1F4E79"/>
                <w:sz w:val="18"/>
                <w:szCs w:val="18"/>
              </w:rPr>
              <w:t xml:space="preserve">Data éthique et utilisation responsable des données voyageurs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la position d'EVENTY LIFE SAS sur l'utilisation et la valorisation des données générées par son activité (données voyageurs, partenaires, opérationnelles). Elle complète et précise la Politique de confidentialité RGPD, la Politique cybersécurité, le DPA Sous-traitance RGPD, la Politique cookies et la Roadmap technique.</w:t>
      </w:r>
    </w:p>
    <w:p>
      <w:pPr>
        <w:spacing w:after="100" w:line="280"/>
        <w:jc w:val="both"/>
      </w:pPr>
      <w:r>
        <w:rPr>
          <w:rFonts w:ascii="Calibri" w:cs="Calibri" w:eastAsia="Calibri" w:hAnsi="Calibri"/>
          <w:i/>
          <w:iCs/>
          <w:color w:val="1A1A1A"/>
          <w:sz w:val="20"/>
          <w:szCs w:val="20"/>
        </w:rPr>
        <w:t xml:space="preserve">Eventy refuse la monétisation des données voyageurs. Notre approche : données utilisées strictement pour la finalité voyage, pas de revente ni de partage commercial, transparence absolue, refus du tracking abusif. Les données voyageurs ne sont pas un actif à exploiter — c'est une responsabilité.</w:t>
      </w:r>
    </w:p>
    <w:p>
      <w:pPr>
        <w:spacing w:after="160" w:before="240"/>
      </w:pPr>
      <w:r>
        <w:rPr>
          <w:rFonts w:ascii="Calibri" w:cs="Calibri" w:eastAsia="Calibri" w:hAnsi="Calibri"/>
          <w:b/>
          <w:bCs/>
          <w:color w:val="1F4E79"/>
          <w:sz w:val="32"/>
          <w:szCs w:val="32"/>
        </w:rPr>
        <w:t xml:space="preserve">1. Cadre</w:t>
      </w:r>
    </w:p>
    <w:p>
      <w:pPr>
        <w:spacing w:after="100" w:before="220"/>
      </w:pPr>
      <w:r>
        <w:rPr>
          <w:rFonts w:ascii="Calibri" w:cs="Calibri" w:eastAsia="Calibri" w:hAnsi="Calibri"/>
          <w:b/>
          <w:bCs/>
          <w:color w:val="E87722"/>
          <w:sz w:val="22"/>
          <w:szCs w:val="22"/>
        </w:rPr>
        <w:t xml:space="preserve">1.1. Cadre juridique</w:t>
      </w:r>
    </w:p>
    <w:p>
      <w:pPr>
        <w:pStyle w:val="ListParagraph"/>
        <w:numPr>
          <w:ilvl w:val="0"/>
          <w:numId w:val="2"/>
        </w:numPr>
        <w:spacing w:after="60" w:line="260"/>
      </w:pPr>
      <w:r>
        <w:rPr>
          <w:rFonts w:ascii="Calibri" w:cs="Calibri" w:eastAsia="Calibri" w:hAnsi="Calibri"/>
          <w:sz w:val="20"/>
          <w:szCs w:val="20"/>
        </w:rPr>
        <w:t xml:space="preserve">RGPD (Règlement (UE) 2016/679).</w:t>
      </w:r>
    </w:p>
    <w:p>
      <w:pPr>
        <w:pStyle w:val="ListParagraph"/>
        <w:numPr>
          <w:ilvl w:val="0"/>
          <w:numId w:val="2"/>
        </w:numPr>
        <w:spacing w:after="60" w:line="260"/>
      </w:pPr>
      <w:r>
        <w:rPr>
          <w:rFonts w:ascii="Calibri" w:cs="Calibri" w:eastAsia="Calibri" w:hAnsi="Calibri"/>
          <w:sz w:val="20"/>
          <w:szCs w:val="20"/>
        </w:rPr>
        <w:t xml:space="preserve">Loi Informatique et Libertés (1978 modifiée).</w:t>
      </w:r>
    </w:p>
    <w:p>
      <w:pPr>
        <w:pStyle w:val="ListParagraph"/>
        <w:numPr>
          <w:ilvl w:val="0"/>
          <w:numId w:val="2"/>
        </w:numPr>
        <w:spacing w:after="60" w:line="260"/>
      </w:pPr>
      <w:r>
        <w:rPr>
          <w:rFonts w:ascii="Calibri" w:cs="Calibri" w:eastAsia="Calibri" w:hAnsi="Calibri"/>
          <w:sz w:val="20"/>
          <w:szCs w:val="20"/>
        </w:rPr>
        <w:t xml:space="preserve">CNIL — recommandations et sanctions.</w:t>
      </w:r>
    </w:p>
    <w:p>
      <w:pPr>
        <w:pStyle w:val="ListParagraph"/>
        <w:numPr>
          <w:ilvl w:val="0"/>
          <w:numId w:val="2"/>
        </w:numPr>
        <w:spacing w:after="60" w:line="260"/>
      </w:pPr>
      <w:r>
        <w:rPr>
          <w:rFonts w:ascii="Calibri" w:cs="Calibri" w:eastAsia="Calibri" w:hAnsi="Calibri"/>
          <w:sz w:val="20"/>
          <w:szCs w:val="20"/>
        </w:rPr>
        <w:t xml:space="preserve">ePrivacy (cookies et traceurs).</w:t>
      </w:r>
    </w:p>
    <w:p>
      <w:pPr>
        <w:pStyle w:val="ListParagraph"/>
        <w:numPr>
          <w:ilvl w:val="0"/>
          <w:numId w:val="2"/>
        </w:numPr>
        <w:spacing w:after="60" w:line="260"/>
      </w:pPr>
      <w:r>
        <w:rPr>
          <w:rFonts w:ascii="Calibri" w:cs="Calibri" w:eastAsia="Calibri" w:hAnsi="Calibri"/>
          <w:sz w:val="20"/>
          <w:szCs w:val="20"/>
        </w:rPr>
        <w:t xml:space="preserve">Politique RGPD Eventy (cohérence).</w:t>
      </w:r>
    </w:p>
    <w:p>
      <w:pPr>
        <w:spacing w:after="100" w:before="220"/>
      </w:pPr>
      <w:r>
        <w:rPr>
          <w:rFonts w:ascii="Calibri" w:cs="Calibri" w:eastAsia="Calibri" w:hAnsi="Calibri"/>
          <w:b/>
          <w:bCs/>
          <w:color w:val="E87722"/>
          <w:sz w:val="22"/>
          <w:szCs w:val="22"/>
        </w:rPr>
        <w:t xml:space="preserve">1.2. Catégories de données Eventy</w:t>
      </w:r>
    </w:p>
    <w:p>
      <w:pPr>
        <w:pStyle w:val="ListParagraph"/>
        <w:numPr>
          <w:ilvl w:val="0"/>
          <w:numId w:val="2"/>
        </w:numPr>
        <w:spacing w:after="60" w:line="260"/>
      </w:pPr>
      <w:r>
        <w:rPr>
          <w:rFonts w:ascii="Calibri" w:cs="Calibri" w:eastAsia="Calibri" w:hAnsi="Calibri"/>
          <w:sz w:val="20"/>
          <w:szCs w:val="20"/>
        </w:rPr>
        <w:t xml:space="preserve">Données identité civile (voyageurs, partenaires).</w:t>
      </w:r>
    </w:p>
    <w:p>
      <w:pPr>
        <w:pStyle w:val="ListParagraph"/>
        <w:numPr>
          <w:ilvl w:val="0"/>
          <w:numId w:val="2"/>
        </w:numPr>
        <w:spacing w:after="60" w:line="260"/>
      </w:pPr>
      <w:r>
        <w:rPr>
          <w:rFonts w:ascii="Calibri" w:cs="Calibri" w:eastAsia="Calibri" w:hAnsi="Calibri"/>
          <w:sz w:val="20"/>
          <w:szCs w:val="20"/>
        </w:rPr>
        <w:t xml:space="preserve">Données contact (email, téléphone, adresse).</w:t>
      </w:r>
    </w:p>
    <w:p>
      <w:pPr>
        <w:pStyle w:val="ListParagraph"/>
        <w:numPr>
          <w:ilvl w:val="0"/>
          <w:numId w:val="2"/>
        </w:numPr>
        <w:spacing w:after="60" w:line="260"/>
      </w:pPr>
      <w:r>
        <w:rPr>
          <w:rFonts w:ascii="Calibri" w:cs="Calibri" w:eastAsia="Calibri" w:hAnsi="Calibri"/>
          <w:sz w:val="20"/>
          <w:szCs w:val="20"/>
        </w:rPr>
        <w:t xml:space="preserve">Données de paiement (gérées par Stripe — Eventy ne stocke pas le PAN).</w:t>
      </w:r>
    </w:p>
    <w:p>
      <w:pPr>
        <w:pStyle w:val="ListParagraph"/>
        <w:numPr>
          <w:ilvl w:val="0"/>
          <w:numId w:val="2"/>
        </w:numPr>
        <w:spacing w:after="60" w:line="260"/>
      </w:pPr>
      <w:r>
        <w:rPr>
          <w:rFonts w:ascii="Calibri" w:cs="Calibri" w:eastAsia="Calibri" w:hAnsi="Calibri"/>
          <w:sz w:val="20"/>
          <w:szCs w:val="20"/>
        </w:rPr>
        <w:t xml:space="preserve">Données médicales (allergies, mobilité — chiffrement applicatif renforcé).</w:t>
      </w:r>
    </w:p>
    <w:p>
      <w:pPr>
        <w:pStyle w:val="ListParagraph"/>
        <w:numPr>
          <w:ilvl w:val="0"/>
          <w:numId w:val="2"/>
        </w:numPr>
        <w:spacing w:after="60" w:line="260"/>
      </w:pPr>
      <w:r>
        <w:rPr>
          <w:rFonts w:ascii="Calibri" w:cs="Calibri" w:eastAsia="Calibri" w:hAnsi="Calibri"/>
          <w:sz w:val="20"/>
          <w:szCs w:val="20"/>
        </w:rPr>
        <w:t xml:space="preserve">Données comportementales (parcours sur le site, voyages effectués).</w:t>
      </w:r>
    </w:p>
    <w:p>
      <w:pPr>
        <w:pStyle w:val="ListParagraph"/>
        <w:numPr>
          <w:ilvl w:val="0"/>
          <w:numId w:val="2"/>
        </w:numPr>
        <w:spacing w:after="60" w:line="260"/>
      </w:pPr>
      <w:r>
        <w:rPr>
          <w:rFonts w:ascii="Calibri" w:cs="Calibri" w:eastAsia="Calibri" w:hAnsi="Calibri"/>
          <w:sz w:val="20"/>
          <w:szCs w:val="20"/>
        </w:rPr>
        <w:t xml:space="preserve">Données opérationnelles (volumes voyages, marges, NPS, etc.).</w:t>
      </w:r>
    </w:p>
    <w:p>
      <w:pPr>
        <w:spacing w:after="160" w:before="240"/>
      </w:pPr>
      <w:r>
        <w:rPr>
          <w:rFonts w:ascii="Calibri" w:cs="Calibri" w:eastAsia="Calibri" w:hAnsi="Calibri"/>
          <w:b/>
          <w:bCs/>
          <w:color w:val="1F4E79"/>
          <w:sz w:val="32"/>
          <w:szCs w:val="32"/>
        </w:rPr>
        <w:t xml:space="preserve">2. Principes directeurs</w:t>
      </w:r>
    </w:p>
    <w:p>
      <w:pPr>
        <w:spacing w:after="100" w:before="220"/>
      </w:pPr>
      <w:r>
        <w:rPr>
          <w:rFonts w:ascii="Calibri" w:cs="Calibri" w:eastAsia="Calibri" w:hAnsi="Calibri"/>
          <w:b/>
          <w:bCs/>
          <w:color w:val="E87722"/>
          <w:sz w:val="22"/>
          <w:szCs w:val="22"/>
        </w:rPr>
        <w:t xml:space="preserve">2.1. Cinq principes</w:t>
      </w:r>
    </w:p>
    <w:p>
      <w:pPr>
        <w:pStyle w:val="ListParagraph"/>
        <w:numPr>
          <w:ilvl w:val="0"/>
          <w:numId w:val="2"/>
        </w:numPr>
        <w:spacing w:after="60" w:line="260"/>
      </w:pPr>
      <w:r>
        <w:rPr>
          <w:rFonts w:ascii="Calibri" w:cs="Calibri" w:eastAsia="Calibri" w:hAnsi="Calibri"/>
          <w:sz w:val="20"/>
          <w:szCs w:val="20"/>
        </w:rPr>
        <w:t xml:space="preserve">Finalité voyage — données utilisées pour rendre le service voyage.</w:t>
      </w:r>
    </w:p>
    <w:p>
      <w:pPr>
        <w:pStyle w:val="ListParagraph"/>
        <w:numPr>
          <w:ilvl w:val="0"/>
          <w:numId w:val="2"/>
        </w:numPr>
        <w:spacing w:after="60" w:line="260"/>
      </w:pPr>
      <w:r>
        <w:rPr>
          <w:rFonts w:ascii="Calibri" w:cs="Calibri" w:eastAsia="Calibri" w:hAnsi="Calibri"/>
          <w:sz w:val="20"/>
          <w:szCs w:val="20"/>
        </w:rPr>
        <w:t xml:space="preserve">Minimisation — collecter le strict nécessaire.</w:t>
      </w:r>
    </w:p>
    <w:p>
      <w:pPr>
        <w:pStyle w:val="ListParagraph"/>
        <w:numPr>
          <w:ilvl w:val="0"/>
          <w:numId w:val="2"/>
        </w:numPr>
        <w:spacing w:after="60" w:line="260"/>
      </w:pPr>
      <w:r>
        <w:rPr>
          <w:rFonts w:ascii="Calibri" w:cs="Calibri" w:eastAsia="Calibri" w:hAnsi="Calibri"/>
          <w:sz w:val="20"/>
          <w:szCs w:val="20"/>
        </w:rPr>
        <w:t xml:space="preserve">Souveraineté — refus de la cession à des tiers.</w:t>
      </w:r>
    </w:p>
    <w:p>
      <w:pPr>
        <w:pStyle w:val="ListParagraph"/>
        <w:numPr>
          <w:ilvl w:val="0"/>
          <w:numId w:val="2"/>
        </w:numPr>
        <w:spacing w:after="60" w:line="260"/>
      </w:pPr>
      <w:r>
        <w:rPr>
          <w:rFonts w:ascii="Calibri" w:cs="Calibri" w:eastAsia="Calibri" w:hAnsi="Calibri"/>
          <w:sz w:val="20"/>
          <w:szCs w:val="20"/>
        </w:rPr>
        <w:t xml:space="preserve">Transparence — le voyageur sait ce qu'on fait avec ses données.</w:t>
      </w:r>
    </w:p>
    <w:p>
      <w:pPr>
        <w:pStyle w:val="ListParagraph"/>
        <w:numPr>
          <w:ilvl w:val="0"/>
          <w:numId w:val="2"/>
        </w:numPr>
        <w:spacing w:after="60" w:line="260"/>
      </w:pPr>
      <w:r>
        <w:rPr>
          <w:rFonts w:ascii="Calibri" w:cs="Calibri" w:eastAsia="Calibri" w:hAnsi="Calibri"/>
          <w:sz w:val="20"/>
          <w:szCs w:val="20"/>
        </w:rPr>
        <w:t xml:space="preserve">Sobriété — refus du tout-data extractif.</w:t>
      </w:r>
    </w:p>
    <w:p>
      <w:pPr>
        <w:spacing w:after="100" w:before="220"/>
      </w:pPr>
      <w:r>
        <w:rPr>
          <w:rFonts w:ascii="Calibri" w:cs="Calibri" w:eastAsia="Calibri" w:hAnsi="Calibri"/>
          <w:b/>
          <w:bCs/>
          <w:color w:val="E87722"/>
          <w:sz w:val="22"/>
          <w:szCs w:val="22"/>
        </w:rPr>
        <w:t xml:space="preserve">2.2. Refus structurés</w:t>
      </w:r>
    </w:p>
    <w:p>
      <w:pPr>
        <w:pStyle w:val="ListParagraph"/>
        <w:numPr>
          <w:ilvl w:val="0"/>
          <w:numId w:val="2"/>
        </w:numPr>
        <w:spacing w:after="60" w:line="260"/>
      </w:pPr>
      <w:r>
        <w:rPr>
          <w:rFonts w:ascii="Calibri" w:cs="Calibri" w:eastAsia="Calibri" w:hAnsi="Calibri"/>
          <w:sz w:val="20"/>
          <w:szCs w:val="20"/>
        </w:rPr>
        <w:t xml:space="preserve">**Refus absolu de la vente ou cession des données voyageurs à des tiers.**</w:t>
      </w:r>
    </w:p>
    <w:p>
      <w:pPr>
        <w:pStyle w:val="ListParagraph"/>
        <w:numPr>
          <w:ilvl w:val="0"/>
          <w:numId w:val="2"/>
        </w:numPr>
        <w:spacing w:after="60" w:line="260"/>
      </w:pPr>
      <w:r>
        <w:rPr>
          <w:rFonts w:ascii="Calibri" w:cs="Calibri" w:eastAsia="Calibri" w:hAnsi="Calibri"/>
          <w:sz w:val="20"/>
          <w:szCs w:val="20"/>
        </w:rPr>
        <w:t xml:space="preserve">Refus de la monétisation publicitaire des données.</w:t>
      </w:r>
    </w:p>
    <w:p>
      <w:pPr>
        <w:pStyle w:val="ListParagraph"/>
        <w:numPr>
          <w:ilvl w:val="0"/>
          <w:numId w:val="2"/>
        </w:numPr>
        <w:spacing w:after="60" w:line="260"/>
      </w:pPr>
      <w:r>
        <w:rPr>
          <w:rFonts w:ascii="Calibri" w:cs="Calibri" w:eastAsia="Calibri" w:hAnsi="Calibri"/>
          <w:sz w:val="20"/>
          <w:szCs w:val="20"/>
        </w:rPr>
        <w:t xml:space="preserve">Refus du tracking comportemental tiers (Facebook Pixel, Google Analytics 4 invasif).</w:t>
      </w:r>
    </w:p>
    <w:p>
      <w:pPr>
        <w:pStyle w:val="ListParagraph"/>
        <w:numPr>
          <w:ilvl w:val="0"/>
          <w:numId w:val="2"/>
        </w:numPr>
        <w:spacing w:after="60" w:line="260"/>
      </w:pPr>
      <w:r>
        <w:rPr>
          <w:rFonts w:ascii="Calibri" w:cs="Calibri" w:eastAsia="Calibri" w:hAnsi="Calibri"/>
          <w:sz w:val="20"/>
          <w:szCs w:val="20"/>
        </w:rPr>
        <w:t xml:space="preserve">Refus de l'IA générative entraînée sur données voyageurs.</w:t>
      </w:r>
    </w:p>
    <w:p>
      <w:pPr>
        <w:pStyle w:val="ListParagraph"/>
        <w:numPr>
          <w:ilvl w:val="0"/>
          <w:numId w:val="2"/>
        </w:numPr>
        <w:spacing w:after="60" w:line="260"/>
      </w:pPr>
      <w:r>
        <w:rPr>
          <w:rFonts w:ascii="Calibri" w:cs="Calibri" w:eastAsia="Calibri" w:hAnsi="Calibri"/>
          <w:sz w:val="20"/>
          <w:szCs w:val="20"/>
        </w:rPr>
        <w:t xml:space="preserve">Refus des cookies non essentiels imposés.</w:t>
      </w:r>
    </w:p>
    <w:p>
      <w:pPr>
        <w:pStyle w:val="ListParagraph"/>
        <w:numPr>
          <w:ilvl w:val="0"/>
          <w:numId w:val="2"/>
        </w:numPr>
        <w:spacing w:after="60" w:line="260"/>
      </w:pPr>
      <w:r>
        <w:rPr>
          <w:rFonts w:ascii="Calibri" w:cs="Calibri" w:eastAsia="Calibri" w:hAnsi="Calibri"/>
          <w:sz w:val="20"/>
          <w:szCs w:val="20"/>
        </w:rPr>
        <w:t xml:space="preserve">Refus de la profilage publicitaire abusif.</w:t>
      </w:r>
    </w:p>
    <w:p>
      <w:pPr>
        <w:spacing w:after="160" w:before="240"/>
      </w:pPr>
      <w:r>
        <w:rPr>
          <w:rFonts w:ascii="Calibri" w:cs="Calibri" w:eastAsia="Calibri" w:hAnsi="Calibri"/>
          <w:b/>
          <w:bCs/>
          <w:color w:val="1F4E79"/>
          <w:sz w:val="32"/>
          <w:szCs w:val="32"/>
        </w:rPr>
        <w:t xml:space="preserve">3. Utilisations autorisées des données voyageurs</w:t>
      </w:r>
    </w:p>
    <w:p>
      <w:pPr>
        <w:spacing w:after="100" w:before="220"/>
      </w:pPr>
      <w:r>
        <w:rPr>
          <w:rFonts w:ascii="Calibri" w:cs="Calibri" w:eastAsia="Calibri" w:hAnsi="Calibri"/>
          <w:b/>
          <w:bCs/>
          <w:color w:val="E87722"/>
          <w:sz w:val="22"/>
          <w:szCs w:val="22"/>
        </w:rPr>
        <w:t xml:space="preserve">3.1. Finalité voyage (cœur)</w:t>
      </w:r>
    </w:p>
    <w:p>
      <w:pPr>
        <w:pStyle w:val="ListParagraph"/>
        <w:numPr>
          <w:ilvl w:val="0"/>
          <w:numId w:val="2"/>
        </w:numPr>
        <w:spacing w:after="60" w:line="260"/>
      </w:pPr>
      <w:r>
        <w:rPr>
          <w:rFonts w:ascii="Calibri" w:cs="Calibri" w:eastAsia="Calibri" w:hAnsi="Calibri"/>
          <w:sz w:val="20"/>
          <w:szCs w:val="20"/>
        </w:rPr>
        <w:t xml:space="preserve">Réservation, paiement, exécution du voyage.</w:t>
      </w:r>
    </w:p>
    <w:p>
      <w:pPr>
        <w:pStyle w:val="ListParagraph"/>
        <w:numPr>
          <w:ilvl w:val="0"/>
          <w:numId w:val="2"/>
        </w:numPr>
        <w:spacing w:after="60" w:line="260"/>
      </w:pPr>
      <w:r>
        <w:rPr>
          <w:rFonts w:ascii="Calibri" w:cs="Calibri" w:eastAsia="Calibri" w:hAnsi="Calibri"/>
          <w:sz w:val="20"/>
          <w:szCs w:val="20"/>
        </w:rPr>
        <w:t xml:space="preserve">Communication transactionnelle (confirmation, roadbook, NPS).</w:t>
      </w:r>
    </w:p>
    <w:p>
      <w:pPr>
        <w:pStyle w:val="ListParagraph"/>
        <w:numPr>
          <w:ilvl w:val="0"/>
          <w:numId w:val="2"/>
        </w:numPr>
        <w:spacing w:after="60" w:line="260"/>
      </w:pPr>
      <w:r>
        <w:rPr>
          <w:rFonts w:ascii="Calibri" w:cs="Calibri" w:eastAsia="Calibri" w:hAnsi="Calibri"/>
          <w:sz w:val="20"/>
          <w:szCs w:val="20"/>
        </w:rPr>
        <w:t xml:space="preserve">Pack Sérénité (assistance, rapatriement).</w:t>
      </w:r>
    </w:p>
    <w:p>
      <w:pPr>
        <w:pStyle w:val="ListParagraph"/>
        <w:numPr>
          <w:ilvl w:val="0"/>
          <w:numId w:val="2"/>
        </w:numPr>
        <w:spacing w:after="60" w:line="260"/>
      </w:pPr>
      <w:r>
        <w:rPr>
          <w:rFonts w:ascii="Calibri" w:cs="Calibri" w:eastAsia="Calibri" w:hAnsi="Calibri"/>
          <w:sz w:val="20"/>
          <w:szCs w:val="20"/>
        </w:rPr>
        <w:t xml:space="preserve">Cohérence avec CGV et Politique RGPD.</w:t>
      </w:r>
    </w:p>
    <w:p>
      <w:pPr>
        <w:spacing w:after="100" w:before="220"/>
      </w:pPr>
      <w:r>
        <w:rPr>
          <w:rFonts w:ascii="Calibri" w:cs="Calibri" w:eastAsia="Calibri" w:hAnsi="Calibri"/>
          <w:b/>
          <w:bCs/>
          <w:color w:val="E87722"/>
          <w:sz w:val="22"/>
          <w:szCs w:val="22"/>
        </w:rPr>
        <w:t xml:space="preserve">3.2. Finalité gestion contractuelle</w:t>
      </w:r>
    </w:p>
    <w:p>
      <w:pPr>
        <w:pStyle w:val="ListParagraph"/>
        <w:numPr>
          <w:ilvl w:val="0"/>
          <w:numId w:val="2"/>
        </w:numPr>
        <w:spacing w:after="60" w:line="260"/>
      </w:pPr>
      <w:r>
        <w:rPr>
          <w:rFonts w:ascii="Calibri" w:cs="Calibri" w:eastAsia="Calibri" w:hAnsi="Calibri"/>
          <w:sz w:val="20"/>
          <w:szCs w:val="20"/>
        </w:rPr>
        <w:t xml:space="preserve">Comptabilité (10 ans légal).</w:t>
      </w:r>
    </w:p>
    <w:p>
      <w:pPr>
        <w:pStyle w:val="ListParagraph"/>
        <w:numPr>
          <w:ilvl w:val="0"/>
          <w:numId w:val="2"/>
        </w:numPr>
        <w:spacing w:after="60" w:line="260"/>
      </w:pPr>
      <w:r>
        <w:rPr>
          <w:rFonts w:ascii="Calibri" w:cs="Calibri" w:eastAsia="Calibri" w:hAnsi="Calibri"/>
          <w:sz w:val="20"/>
          <w:szCs w:val="20"/>
        </w:rPr>
        <w:t xml:space="preserve">Réclamations (cohérence Procédure de réclamation détaillée).</w:t>
      </w:r>
    </w:p>
    <w:p>
      <w:pPr>
        <w:pStyle w:val="ListParagraph"/>
        <w:numPr>
          <w:ilvl w:val="0"/>
          <w:numId w:val="2"/>
        </w:numPr>
        <w:spacing w:after="60" w:line="260"/>
      </w:pPr>
      <w:r>
        <w:rPr>
          <w:rFonts w:ascii="Calibri" w:cs="Calibri" w:eastAsia="Calibri" w:hAnsi="Calibri"/>
          <w:sz w:val="20"/>
          <w:szCs w:val="20"/>
        </w:rPr>
        <w:t xml:space="preserve">Audit qualité voyage.</w:t>
      </w:r>
    </w:p>
    <w:p>
      <w:pPr>
        <w:spacing w:after="100" w:before="220"/>
      </w:pPr>
      <w:r>
        <w:rPr>
          <w:rFonts w:ascii="Calibri" w:cs="Calibri" w:eastAsia="Calibri" w:hAnsi="Calibri"/>
          <w:b/>
          <w:bCs/>
          <w:color w:val="E87722"/>
          <w:sz w:val="22"/>
          <w:szCs w:val="22"/>
        </w:rPr>
        <w:t xml:space="preserve">3.3. Finalité communication (consentement requis)</w:t>
      </w:r>
    </w:p>
    <w:p>
      <w:pPr>
        <w:pStyle w:val="ListParagraph"/>
        <w:numPr>
          <w:ilvl w:val="0"/>
          <w:numId w:val="2"/>
        </w:numPr>
        <w:spacing w:after="60" w:line="260"/>
      </w:pPr>
      <w:r>
        <w:rPr>
          <w:rFonts w:ascii="Calibri" w:cs="Calibri" w:eastAsia="Calibri" w:hAnsi="Calibri"/>
          <w:sz w:val="20"/>
          <w:szCs w:val="20"/>
        </w:rPr>
        <w:t xml:space="preserve">Newsletter mensuelle (opt-in).</w:t>
      </w:r>
    </w:p>
    <w:p>
      <w:pPr>
        <w:pStyle w:val="ListParagraph"/>
        <w:numPr>
          <w:ilvl w:val="0"/>
          <w:numId w:val="2"/>
        </w:numPr>
        <w:spacing w:after="60" w:line="260"/>
      </w:pPr>
      <w:r>
        <w:rPr>
          <w:rFonts w:ascii="Calibri" w:cs="Calibri" w:eastAsia="Calibri" w:hAnsi="Calibri"/>
          <w:sz w:val="20"/>
          <w:szCs w:val="20"/>
        </w:rPr>
        <w:t xml:space="preserve">Programme de fidélisation Eventy Famille.</w:t>
      </w:r>
    </w:p>
    <w:p>
      <w:pPr>
        <w:pStyle w:val="ListParagraph"/>
        <w:numPr>
          <w:ilvl w:val="0"/>
          <w:numId w:val="2"/>
        </w:numPr>
        <w:spacing w:after="60" w:line="260"/>
      </w:pPr>
      <w:r>
        <w:rPr>
          <w:rFonts w:ascii="Calibri" w:cs="Calibri" w:eastAsia="Calibri" w:hAnsi="Calibri"/>
          <w:sz w:val="20"/>
          <w:szCs w:val="20"/>
        </w:rPr>
        <w:t xml:space="preserve">Communication ciblée sur destinations similaires.</w:t>
      </w:r>
    </w:p>
    <w:p>
      <w:pPr>
        <w:spacing w:after="100" w:before="220"/>
      </w:pPr>
      <w:r>
        <w:rPr>
          <w:rFonts w:ascii="Calibri" w:cs="Calibri" w:eastAsia="Calibri" w:hAnsi="Calibri"/>
          <w:b/>
          <w:bCs/>
          <w:color w:val="E87722"/>
          <w:sz w:val="22"/>
          <w:szCs w:val="22"/>
        </w:rPr>
        <w:t xml:space="preserve">3.4. Finalité statistique anonymisée</w:t>
      </w:r>
    </w:p>
    <w:p>
      <w:pPr>
        <w:pStyle w:val="ListParagraph"/>
        <w:numPr>
          <w:ilvl w:val="0"/>
          <w:numId w:val="2"/>
        </w:numPr>
        <w:spacing w:after="60" w:line="260"/>
      </w:pPr>
      <w:r>
        <w:rPr>
          <w:rFonts w:ascii="Calibri" w:cs="Calibri" w:eastAsia="Calibri" w:hAnsi="Calibri"/>
          <w:sz w:val="20"/>
          <w:szCs w:val="20"/>
        </w:rPr>
        <w:t xml:space="preserve">Analyses internes (NPS, taux conversion, etc.).</w:t>
      </w:r>
    </w:p>
    <w:p>
      <w:pPr>
        <w:pStyle w:val="ListParagraph"/>
        <w:numPr>
          <w:ilvl w:val="0"/>
          <w:numId w:val="2"/>
        </w:numPr>
        <w:spacing w:after="60" w:line="260"/>
      </w:pPr>
      <w:r>
        <w:rPr>
          <w:rFonts w:ascii="Calibri" w:cs="Calibri" w:eastAsia="Calibri" w:hAnsi="Calibri"/>
          <w:sz w:val="20"/>
          <w:szCs w:val="20"/>
        </w:rPr>
        <w:t xml:space="preserve">Reporting RSE et investisseurs (anonymisé).</w:t>
      </w:r>
    </w:p>
    <w:p>
      <w:pPr>
        <w:pStyle w:val="ListParagraph"/>
        <w:numPr>
          <w:ilvl w:val="0"/>
          <w:numId w:val="2"/>
        </w:numPr>
        <w:spacing w:after="60" w:line="260"/>
      </w:pPr>
      <w:r>
        <w:rPr>
          <w:rFonts w:ascii="Calibri" w:cs="Calibri" w:eastAsia="Calibri" w:hAnsi="Calibri"/>
          <w:sz w:val="20"/>
          <w:szCs w:val="20"/>
        </w:rPr>
        <w:t xml:space="preserve">Bilan annuel public (anonymisé).</w:t>
      </w:r>
    </w:p>
    <w:p>
      <w:pPr>
        <w:pStyle w:val="ListParagraph"/>
        <w:numPr>
          <w:ilvl w:val="0"/>
          <w:numId w:val="2"/>
        </w:numPr>
        <w:spacing w:after="60" w:line="260"/>
      </w:pPr>
      <w:r>
        <w:rPr>
          <w:rFonts w:ascii="Calibri" w:cs="Calibri" w:eastAsia="Calibri" w:hAnsi="Calibri"/>
          <w:sz w:val="20"/>
          <w:szCs w:val="20"/>
        </w:rPr>
        <w:t xml:space="preserve">Étude de marché (anonymisée et agrégée).</w:t>
      </w:r>
    </w:p>
    <w:p>
      <w:pPr>
        <w:spacing w:after="160" w:before="240"/>
      </w:pPr>
      <w:r>
        <w:rPr>
          <w:rFonts w:ascii="Calibri" w:cs="Calibri" w:eastAsia="Calibri" w:hAnsi="Calibri"/>
          <w:b/>
          <w:bCs/>
          <w:color w:val="1F4E79"/>
          <w:sz w:val="32"/>
          <w:szCs w:val="32"/>
        </w:rPr>
        <w:t xml:space="preserve">4. Refus structurels</w:t>
      </w:r>
    </w:p>
    <w:p>
      <w:pPr>
        <w:spacing w:after="100" w:before="220"/>
      </w:pPr>
      <w:r>
        <w:rPr>
          <w:rFonts w:ascii="Calibri" w:cs="Calibri" w:eastAsia="Calibri" w:hAnsi="Calibri"/>
          <w:b/>
          <w:bCs/>
          <w:color w:val="E87722"/>
          <w:sz w:val="22"/>
          <w:szCs w:val="22"/>
        </w:rPr>
        <w:t xml:space="preserve">4.1. Refus de la cession à tiers</w:t>
      </w:r>
    </w:p>
    <w:p>
      <w:pPr>
        <w:pStyle w:val="ListParagraph"/>
        <w:numPr>
          <w:ilvl w:val="0"/>
          <w:numId w:val="2"/>
        </w:numPr>
        <w:spacing w:after="60" w:line="260"/>
      </w:pPr>
      <w:r>
        <w:rPr>
          <w:rFonts w:ascii="Calibri" w:cs="Calibri" w:eastAsia="Calibri" w:hAnsi="Calibri"/>
          <w:sz w:val="20"/>
          <w:szCs w:val="20"/>
        </w:rPr>
        <w:t xml:space="preserve">Aucune vente de données voyageurs.</w:t>
      </w:r>
    </w:p>
    <w:p>
      <w:pPr>
        <w:pStyle w:val="ListParagraph"/>
        <w:numPr>
          <w:ilvl w:val="0"/>
          <w:numId w:val="2"/>
        </w:numPr>
        <w:spacing w:after="60" w:line="260"/>
      </w:pPr>
      <w:r>
        <w:rPr>
          <w:rFonts w:ascii="Calibri" w:cs="Calibri" w:eastAsia="Calibri" w:hAnsi="Calibri"/>
          <w:sz w:val="20"/>
          <w:szCs w:val="20"/>
        </w:rPr>
        <w:t xml:space="preserve">Aucun partage à des fins commerciales tierces.</w:t>
      </w:r>
    </w:p>
    <w:p>
      <w:pPr>
        <w:pStyle w:val="ListParagraph"/>
        <w:numPr>
          <w:ilvl w:val="0"/>
          <w:numId w:val="2"/>
        </w:numPr>
        <w:spacing w:after="60" w:line="260"/>
      </w:pPr>
      <w:r>
        <w:rPr>
          <w:rFonts w:ascii="Calibri" w:cs="Calibri" w:eastAsia="Calibri" w:hAnsi="Calibri"/>
          <w:sz w:val="20"/>
          <w:szCs w:val="20"/>
        </w:rPr>
        <w:t xml:space="preserve">Aucun transfert hors UE non encadré (cohérence DPA Sous-traitance RGPD).</w:t>
      </w:r>
    </w:p>
    <w:p>
      <w:pPr>
        <w:pStyle w:val="ListParagraph"/>
        <w:numPr>
          <w:ilvl w:val="0"/>
          <w:numId w:val="2"/>
        </w:numPr>
        <w:spacing w:after="60" w:line="260"/>
      </w:pPr>
      <w:r>
        <w:rPr>
          <w:rFonts w:ascii="Calibri" w:cs="Calibri" w:eastAsia="Calibri" w:hAnsi="Calibri"/>
          <w:sz w:val="20"/>
          <w:szCs w:val="20"/>
        </w:rPr>
        <w:t xml:space="preserve">Refus de l'API publique exposant des données voyageurs (cohérence Documentation API publique).</w:t>
      </w:r>
    </w:p>
    <w:p>
      <w:pPr>
        <w:spacing w:after="100" w:before="220"/>
      </w:pPr>
      <w:r>
        <w:rPr>
          <w:rFonts w:ascii="Calibri" w:cs="Calibri" w:eastAsia="Calibri" w:hAnsi="Calibri"/>
          <w:b/>
          <w:bCs/>
          <w:color w:val="E87722"/>
          <w:sz w:val="22"/>
          <w:szCs w:val="22"/>
        </w:rPr>
        <w:t xml:space="preserve">4.2. Refus du tracking abusif</w:t>
      </w:r>
    </w:p>
    <w:p>
      <w:pPr>
        <w:pStyle w:val="ListParagraph"/>
        <w:numPr>
          <w:ilvl w:val="0"/>
          <w:numId w:val="2"/>
        </w:numPr>
        <w:spacing w:after="60" w:line="260"/>
      </w:pPr>
      <w:r>
        <w:rPr>
          <w:rFonts w:ascii="Calibri" w:cs="Calibri" w:eastAsia="Calibri" w:hAnsi="Calibri"/>
          <w:sz w:val="20"/>
          <w:szCs w:val="20"/>
        </w:rPr>
        <w:t xml:space="preserve">Refus de Facebook Pixel.</w:t>
      </w:r>
    </w:p>
    <w:p>
      <w:pPr>
        <w:pStyle w:val="ListParagraph"/>
        <w:numPr>
          <w:ilvl w:val="0"/>
          <w:numId w:val="2"/>
        </w:numPr>
        <w:spacing w:after="60" w:line="260"/>
      </w:pPr>
      <w:r>
        <w:rPr>
          <w:rFonts w:ascii="Calibri" w:cs="Calibri" w:eastAsia="Calibri" w:hAnsi="Calibri"/>
          <w:sz w:val="20"/>
          <w:szCs w:val="20"/>
        </w:rPr>
        <w:t xml:space="preserve">Refus de Google Analytics standard (préférence Plausible / Matomo / GA4 sans cookies).</w:t>
      </w:r>
    </w:p>
    <w:p>
      <w:pPr>
        <w:pStyle w:val="ListParagraph"/>
        <w:numPr>
          <w:ilvl w:val="0"/>
          <w:numId w:val="2"/>
        </w:numPr>
        <w:spacing w:after="60" w:line="260"/>
      </w:pPr>
      <w:r>
        <w:rPr>
          <w:rFonts w:ascii="Calibri" w:cs="Calibri" w:eastAsia="Calibri" w:hAnsi="Calibri"/>
          <w:sz w:val="20"/>
          <w:szCs w:val="20"/>
        </w:rPr>
        <w:t xml:space="preserve">Refus du fingerprinting.</w:t>
      </w:r>
    </w:p>
    <w:p>
      <w:pPr>
        <w:pStyle w:val="ListParagraph"/>
        <w:numPr>
          <w:ilvl w:val="0"/>
          <w:numId w:val="2"/>
        </w:numPr>
        <w:spacing w:after="60" w:line="260"/>
      </w:pPr>
      <w:r>
        <w:rPr>
          <w:rFonts w:ascii="Calibri" w:cs="Calibri" w:eastAsia="Calibri" w:hAnsi="Calibri"/>
          <w:sz w:val="20"/>
          <w:szCs w:val="20"/>
        </w:rPr>
        <w:t xml:space="preserve">Refus du tracking inter-sites.</w:t>
      </w:r>
    </w:p>
    <w:p>
      <w:pPr>
        <w:pStyle w:val="ListParagraph"/>
        <w:numPr>
          <w:ilvl w:val="0"/>
          <w:numId w:val="2"/>
        </w:numPr>
        <w:spacing w:after="60" w:line="260"/>
      </w:pPr>
      <w:r>
        <w:rPr>
          <w:rFonts w:ascii="Calibri" w:cs="Calibri" w:eastAsia="Calibri" w:hAnsi="Calibri"/>
          <w:sz w:val="20"/>
          <w:szCs w:val="20"/>
        </w:rPr>
        <w:t xml:space="preserve">Cohérence avec Politique cookies.</w:t>
      </w:r>
    </w:p>
    <w:p>
      <w:pPr>
        <w:spacing w:after="100" w:before="220"/>
      </w:pPr>
      <w:r>
        <w:rPr>
          <w:rFonts w:ascii="Calibri" w:cs="Calibri" w:eastAsia="Calibri" w:hAnsi="Calibri"/>
          <w:b/>
          <w:bCs/>
          <w:color w:val="E87722"/>
          <w:sz w:val="22"/>
          <w:szCs w:val="22"/>
        </w:rPr>
        <w:t xml:space="preserve">4.3. Refus de l'IA générative invasive</w:t>
      </w:r>
    </w:p>
    <w:p>
      <w:pPr>
        <w:pStyle w:val="ListParagraph"/>
        <w:numPr>
          <w:ilvl w:val="0"/>
          <w:numId w:val="2"/>
        </w:numPr>
        <w:spacing w:after="60" w:line="260"/>
      </w:pPr>
      <w:r>
        <w:rPr>
          <w:rFonts w:ascii="Calibri" w:cs="Calibri" w:eastAsia="Calibri" w:hAnsi="Calibri"/>
          <w:sz w:val="20"/>
          <w:szCs w:val="20"/>
        </w:rPr>
        <w:t xml:space="preserve">Refus d'entraîner des modèles d'IA sur données voyageurs.</w:t>
      </w:r>
    </w:p>
    <w:p>
      <w:pPr>
        <w:pStyle w:val="ListParagraph"/>
        <w:numPr>
          <w:ilvl w:val="0"/>
          <w:numId w:val="2"/>
        </w:numPr>
        <w:spacing w:after="60" w:line="260"/>
      </w:pPr>
      <w:r>
        <w:rPr>
          <w:rFonts w:ascii="Calibri" w:cs="Calibri" w:eastAsia="Calibri" w:hAnsi="Calibri"/>
          <w:sz w:val="20"/>
          <w:szCs w:val="20"/>
        </w:rPr>
        <w:t xml:space="preserve">Refus de transmettre des données voyageurs à OpenAI, Anthropic, etc.</w:t>
      </w:r>
    </w:p>
    <w:p>
      <w:pPr>
        <w:pStyle w:val="ListParagraph"/>
        <w:numPr>
          <w:ilvl w:val="0"/>
          <w:numId w:val="2"/>
        </w:numPr>
        <w:spacing w:after="60" w:line="260"/>
      </w:pPr>
      <w:r>
        <w:rPr>
          <w:rFonts w:ascii="Calibri" w:cs="Calibri" w:eastAsia="Calibri" w:hAnsi="Calibri"/>
          <w:sz w:val="20"/>
          <w:szCs w:val="20"/>
        </w:rPr>
        <w:t xml:space="preserve">Refus du chatbot IA non maîtrisé (cohérence Politique support multicanal).</w:t>
      </w:r>
    </w:p>
    <w:p>
      <w:pPr>
        <w:pStyle w:val="ListParagraph"/>
        <w:numPr>
          <w:ilvl w:val="0"/>
          <w:numId w:val="2"/>
        </w:numPr>
        <w:spacing w:after="60" w:line="260"/>
      </w:pPr>
      <w:r>
        <w:rPr>
          <w:rFonts w:ascii="Calibri" w:cs="Calibri" w:eastAsia="Calibri" w:hAnsi="Calibri"/>
          <w:sz w:val="20"/>
          <w:szCs w:val="20"/>
        </w:rPr>
        <w:t xml:space="preserve">Cohérence avec Roadmap technique (refus tout-IA).</w:t>
      </w:r>
    </w:p>
    <w:p>
      <w:pPr>
        <w:spacing w:after="160" w:before="240"/>
      </w:pPr>
      <w:r>
        <w:rPr>
          <w:rFonts w:ascii="Calibri" w:cs="Calibri" w:eastAsia="Calibri" w:hAnsi="Calibri"/>
          <w:b/>
          <w:bCs/>
          <w:color w:val="1F4E79"/>
          <w:sz w:val="32"/>
          <w:szCs w:val="32"/>
        </w:rPr>
        <w:t xml:space="preserve">5. Anonymisation et pseudonymisation</w:t>
      </w:r>
    </w:p>
    <w:p>
      <w:pPr>
        <w:spacing w:after="100" w:before="220"/>
      </w:pPr>
      <w:r>
        <w:rPr>
          <w:rFonts w:ascii="Calibri" w:cs="Calibri" w:eastAsia="Calibri" w:hAnsi="Calibri"/>
          <w:b/>
          <w:bCs/>
          <w:color w:val="E87722"/>
          <w:sz w:val="22"/>
          <w:szCs w:val="22"/>
        </w:rPr>
        <w:t xml:space="preserve">5.1. Anonymisation</w:t>
      </w:r>
    </w:p>
    <w:p>
      <w:pPr>
        <w:pStyle w:val="ListParagraph"/>
        <w:numPr>
          <w:ilvl w:val="0"/>
          <w:numId w:val="2"/>
        </w:numPr>
        <w:spacing w:after="60" w:line="260"/>
      </w:pPr>
      <w:r>
        <w:rPr>
          <w:rFonts w:ascii="Calibri" w:cs="Calibri" w:eastAsia="Calibri" w:hAnsi="Calibri"/>
          <w:sz w:val="20"/>
          <w:szCs w:val="20"/>
        </w:rPr>
        <w:t xml:space="preserve">Suppression des identifiants directs (nom, email, etc.).</w:t>
      </w:r>
    </w:p>
    <w:p>
      <w:pPr>
        <w:pStyle w:val="ListParagraph"/>
        <w:numPr>
          <w:ilvl w:val="0"/>
          <w:numId w:val="2"/>
        </w:numPr>
        <w:spacing w:after="60" w:line="260"/>
      </w:pPr>
      <w:r>
        <w:rPr>
          <w:rFonts w:ascii="Calibri" w:cs="Calibri" w:eastAsia="Calibri" w:hAnsi="Calibri"/>
          <w:sz w:val="20"/>
          <w:szCs w:val="20"/>
        </w:rPr>
        <w:t xml:space="preserve">Aggregation par groupes pour statistiques publiques.</w:t>
      </w:r>
    </w:p>
    <w:p>
      <w:pPr>
        <w:pStyle w:val="ListParagraph"/>
        <w:numPr>
          <w:ilvl w:val="0"/>
          <w:numId w:val="2"/>
        </w:numPr>
        <w:spacing w:after="60" w:line="260"/>
      </w:pPr>
      <w:r>
        <w:rPr>
          <w:rFonts w:ascii="Calibri" w:cs="Calibri" w:eastAsia="Calibri" w:hAnsi="Calibri"/>
          <w:sz w:val="20"/>
          <w:szCs w:val="20"/>
        </w:rPr>
        <w:t xml:space="preserve">Validation que la ré-identification n'est pas possible.</w:t>
      </w:r>
    </w:p>
    <w:p>
      <w:pPr>
        <w:pStyle w:val="ListParagraph"/>
        <w:numPr>
          <w:ilvl w:val="0"/>
          <w:numId w:val="2"/>
        </w:numPr>
        <w:spacing w:after="60" w:line="260"/>
      </w:pPr>
      <w:r>
        <w:rPr>
          <w:rFonts w:ascii="Calibri" w:cs="Calibri" w:eastAsia="Calibri" w:hAnsi="Calibri"/>
          <w:sz w:val="20"/>
          <w:szCs w:val="20"/>
        </w:rPr>
        <w:t xml:space="preserve">Conservation possible long terme (cohérence Politique de gestion documentaire).</w:t>
      </w:r>
    </w:p>
    <w:p>
      <w:pPr>
        <w:spacing w:after="100" w:before="220"/>
      </w:pPr>
      <w:r>
        <w:rPr>
          <w:rFonts w:ascii="Calibri" w:cs="Calibri" w:eastAsia="Calibri" w:hAnsi="Calibri"/>
          <w:b/>
          <w:bCs/>
          <w:color w:val="E87722"/>
          <w:sz w:val="22"/>
          <w:szCs w:val="22"/>
        </w:rPr>
        <w:t xml:space="preserve">5.2. Pseudonymisation</w:t>
      </w:r>
    </w:p>
    <w:p>
      <w:pPr>
        <w:pStyle w:val="ListParagraph"/>
        <w:numPr>
          <w:ilvl w:val="0"/>
          <w:numId w:val="2"/>
        </w:numPr>
        <w:spacing w:after="60" w:line="260"/>
      </w:pPr>
      <w:r>
        <w:rPr>
          <w:rFonts w:ascii="Calibri" w:cs="Calibri" w:eastAsia="Calibri" w:hAnsi="Calibri"/>
          <w:sz w:val="20"/>
          <w:szCs w:val="20"/>
        </w:rPr>
        <w:t xml:space="preserve">Remplacement des identifiants par des codes.</w:t>
      </w:r>
    </w:p>
    <w:p>
      <w:pPr>
        <w:pStyle w:val="ListParagraph"/>
        <w:numPr>
          <w:ilvl w:val="0"/>
          <w:numId w:val="2"/>
        </w:numPr>
        <w:spacing w:after="60" w:line="260"/>
      </w:pPr>
      <w:r>
        <w:rPr>
          <w:rFonts w:ascii="Calibri" w:cs="Calibri" w:eastAsia="Calibri" w:hAnsi="Calibri"/>
          <w:sz w:val="20"/>
          <w:szCs w:val="20"/>
        </w:rPr>
        <w:t xml:space="preserve">Table de correspondance protégée séparément.</w:t>
      </w:r>
    </w:p>
    <w:p>
      <w:pPr>
        <w:pStyle w:val="ListParagraph"/>
        <w:numPr>
          <w:ilvl w:val="0"/>
          <w:numId w:val="2"/>
        </w:numPr>
        <w:spacing w:after="60" w:line="260"/>
      </w:pPr>
      <w:r>
        <w:rPr>
          <w:rFonts w:ascii="Calibri" w:cs="Calibri" w:eastAsia="Calibri" w:hAnsi="Calibri"/>
          <w:sz w:val="20"/>
          <w:szCs w:val="20"/>
        </w:rPr>
        <w:t xml:space="preserve">Possibilité de ré-identification si justifiée.</w:t>
      </w:r>
    </w:p>
    <w:p>
      <w:pPr>
        <w:pStyle w:val="ListParagraph"/>
        <w:numPr>
          <w:ilvl w:val="0"/>
          <w:numId w:val="2"/>
        </w:numPr>
        <w:spacing w:after="60" w:line="260"/>
      </w:pPr>
      <w:r>
        <w:rPr>
          <w:rFonts w:ascii="Calibri" w:cs="Calibri" w:eastAsia="Calibri" w:hAnsi="Calibri"/>
          <w:sz w:val="20"/>
          <w:szCs w:val="20"/>
        </w:rPr>
        <w:t xml:space="preserve">Préférable à l'anonymisation pour les analyses internes.</w:t>
      </w:r>
    </w:p>
    <w:p>
      <w:pPr>
        <w:spacing w:after="100" w:before="220"/>
      </w:pPr>
      <w:r>
        <w:rPr>
          <w:rFonts w:ascii="Calibri" w:cs="Calibri" w:eastAsia="Calibri" w:hAnsi="Calibri"/>
          <w:b/>
          <w:bCs/>
          <w:color w:val="E87722"/>
          <w:sz w:val="22"/>
          <w:szCs w:val="22"/>
        </w:rPr>
        <w:t xml:space="preserve">5.3. Calendrier</w:t>
      </w:r>
    </w:p>
    <w:p>
      <w:pPr>
        <w:pStyle w:val="ListParagraph"/>
        <w:numPr>
          <w:ilvl w:val="0"/>
          <w:numId w:val="2"/>
        </w:numPr>
        <w:spacing w:after="60" w:line="260"/>
      </w:pPr>
      <w:r>
        <w:rPr>
          <w:rFonts w:ascii="Calibri" w:cs="Calibri" w:eastAsia="Calibri" w:hAnsi="Calibri"/>
          <w:sz w:val="20"/>
          <w:szCs w:val="20"/>
        </w:rPr>
        <w:t xml:space="preserve">Pseudonymisation après 3 ans pour les analyses internes.</w:t>
      </w:r>
    </w:p>
    <w:p>
      <w:pPr>
        <w:pStyle w:val="ListParagraph"/>
        <w:numPr>
          <w:ilvl w:val="0"/>
          <w:numId w:val="2"/>
        </w:numPr>
        <w:spacing w:after="60" w:line="260"/>
      </w:pPr>
      <w:r>
        <w:rPr>
          <w:rFonts w:ascii="Calibri" w:cs="Calibri" w:eastAsia="Calibri" w:hAnsi="Calibri"/>
          <w:sz w:val="20"/>
          <w:szCs w:val="20"/>
        </w:rPr>
        <w:t xml:space="preserve">Anonymisation totale après 5 ans (sauf comptabilité 10 ans).</w:t>
      </w:r>
    </w:p>
    <w:p>
      <w:pPr>
        <w:pStyle w:val="ListParagraph"/>
        <w:numPr>
          <w:ilvl w:val="0"/>
          <w:numId w:val="2"/>
        </w:numPr>
        <w:spacing w:after="60" w:line="260"/>
      </w:pPr>
      <w:r>
        <w:rPr>
          <w:rFonts w:ascii="Calibri" w:cs="Calibri" w:eastAsia="Calibri" w:hAnsi="Calibri"/>
          <w:sz w:val="20"/>
          <w:szCs w:val="20"/>
        </w:rPr>
        <w:t xml:space="preserve">Cohérence avec Politique de gestion documentaire.</w:t>
      </w:r>
    </w:p>
    <w:p>
      <w:pPr>
        <w:spacing w:after="160" w:before="240"/>
      </w:pPr>
      <w:r>
        <w:rPr>
          <w:rFonts w:ascii="Calibri" w:cs="Calibri" w:eastAsia="Calibri" w:hAnsi="Calibri"/>
          <w:b/>
          <w:bCs/>
          <w:color w:val="1F4E79"/>
          <w:sz w:val="32"/>
          <w:szCs w:val="32"/>
        </w:rPr>
        <w:t xml:space="preserve">6. Droits des voyageurs</w:t>
      </w:r>
    </w:p>
    <w:p>
      <w:pPr>
        <w:spacing w:after="100" w:before="220"/>
      </w:pPr>
      <w:r>
        <w:rPr>
          <w:rFonts w:ascii="Calibri" w:cs="Calibri" w:eastAsia="Calibri" w:hAnsi="Calibri"/>
          <w:b/>
          <w:bCs/>
          <w:color w:val="E87722"/>
          <w:sz w:val="22"/>
          <w:szCs w:val="22"/>
        </w:rPr>
        <w:t xml:space="preserve">6.1. Droits RGPD</w:t>
      </w:r>
    </w:p>
    <w:p>
      <w:pPr>
        <w:pStyle w:val="ListParagraph"/>
        <w:numPr>
          <w:ilvl w:val="0"/>
          <w:numId w:val="2"/>
        </w:numPr>
        <w:spacing w:after="60" w:line="260"/>
      </w:pPr>
      <w:r>
        <w:rPr>
          <w:rFonts w:ascii="Calibri" w:cs="Calibri" w:eastAsia="Calibri" w:hAnsi="Calibri"/>
          <w:sz w:val="20"/>
          <w:szCs w:val="20"/>
        </w:rPr>
        <w:t xml:space="preserve">Droit d'accès (export JSON des données).</w:t>
      </w:r>
    </w:p>
    <w:p>
      <w:pPr>
        <w:pStyle w:val="ListParagraph"/>
        <w:numPr>
          <w:ilvl w:val="0"/>
          <w:numId w:val="2"/>
        </w:numPr>
        <w:spacing w:after="60" w:line="260"/>
      </w:pPr>
      <w:r>
        <w:rPr>
          <w:rFonts w:ascii="Calibri" w:cs="Calibri" w:eastAsia="Calibri" w:hAnsi="Calibri"/>
          <w:sz w:val="20"/>
          <w:szCs w:val="20"/>
        </w:rPr>
        <w:t xml:space="preserve">Droit de rectification.</w:t>
      </w:r>
    </w:p>
    <w:p>
      <w:pPr>
        <w:pStyle w:val="ListParagraph"/>
        <w:numPr>
          <w:ilvl w:val="0"/>
          <w:numId w:val="2"/>
        </w:numPr>
        <w:spacing w:after="60" w:line="260"/>
      </w:pPr>
      <w:r>
        <w:rPr>
          <w:rFonts w:ascii="Calibri" w:cs="Calibri" w:eastAsia="Calibri" w:hAnsi="Calibri"/>
          <w:sz w:val="20"/>
          <w:szCs w:val="20"/>
        </w:rPr>
        <w:t xml:space="preserve">Droit à l'effacement (sous réserves légales).</w:t>
      </w:r>
    </w:p>
    <w:p>
      <w:pPr>
        <w:pStyle w:val="ListParagraph"/>
        <w:numPr>
          <w:ilvl w:val="0"/>
          <w:numId w:val="2"/>
        </w:numPr>
        <w:spacing w:after="60" w:line="260"/>
      </w:pPr>
      <w:r>
        <w:rPr>
          <w:rFonts w:ascii="Calibri" w:cs="Calibri" w:eastAsia="Calibri" w:hAnsi="Calibri"/>
          <w:sz w:val="20"/>
          <w:szCs w:val="20"/>
        </w:rPr>
        <w:t xml:space="preserve">Droit à la portabilité.</w:t>
      </w:r>
    </w:p>
    <w:p>
      <w:pPr>
        <w:pStyle w:val="ListParagraph"/>
        <w:numPr>
          <w:ilvl w:val="0"/>
          <w:numId w:val="2"/>
        </w:numPr>
        <w:spacing w:after="60" w:line="260"/>
      </w:pPr>
      <w:r>
        <w:rPr>
          <w:rFonts w:ascii="Calibri" w:cs="Calibri" w:eastAsia="Calibri" w:hAnsi="Calibri"/>
          <w:sz w:val="20"/>
          <w:szCs w:val="20"/>
        </w:rPr>
        <w:t xml:space="preserve">Droit d'opposition.</w:t>
      </w:r>
    </w:p>
    <w:p>
      <w:pPr>
        <w:pStyle w:val="ListParagraph"/>
        <w:numPr>
          <w:ilvl w:val="0"/>
          <w:numId w:val="2"/>
        </w:numPr>
        <w:spacing w:after="60" w:line="260"/>
      </w:pPr>
      <w:r>
        <w:rPr>
          <w:rFonts w:ascii="Calibri" w:cs="Calibri" w:eastAsia="Calibri" w:hAnsi="Calibri"/>
          <w:sz w:val="20"/>
          <w:szCs w:val="20"/>
        </w:rPr>
        <w:t xml:space="preserve">Droit à la limitation.</w:t>
      </w:r>
    </w:p>
    <w:p>
      <w:pPr>
        <w:pStyle w:val="ListParagraph"/>
        <w:numPr>
          <w:ilvl w:val="0"/>
          <w:numId w:val="2"/>
        </w:numPr>
        <w:spacing w:after="60" w:line="260"/>
      </w:pPr>
      <w:r>
        <w:rPr>
          <w:rFonts w:ascii="Calibri" w:cs="Calibri" w:eastAsia="Calibri" w:hAnsi="Calibri"/>
          <w:sz w:val="20"/>
          <w:szCs w:val="20"/>
        </w:rPr>
        <w:t xml:space="preserve">Cohérence avec Politique RGPD.</w:t>
      </w:r>
    </w:p>
    <w:p>
      <w:pPr>
        <w:spacing w:after="100" w:before="220"/>
      </w:pPr>
      <w:r>
        <w:rPr>
          <w:rFonts w:ascii="Calibri" w:cs="Calibri" w:eastAsia="Calibri" w:hAnsi="Calibri"/>
          <w:b/>
          <w:bCs/>
          <w:color w:val="E87722"/>
          <w:sz w:val="22"/>
          <w:szCs w:val="22"/>
        </w:rPr>
        <w:t xml:space="preserve">6.2. Modalités d'exercice</w:t>
      </w:r>
    </w:p>
    <w:p>
      <w:pPr>
        <w:pStyle w:val="ListParagraph"/>
        <w:numPr>
          <w:ilvl w:val="0"/>
          <w:numId w:val="2"/>
        </w:numPr>
        <w:spacing w:after="60" w:line="260"/>
      </w:pPr>
      <w:r>
        <w:rPr>
          <w:rFonts w:ascii="Calibri" w:cs="Calibri" w:eastAsia="Calibri" w:hAnsi="Calibri"/>
          <w:sz w:val="20"/>
          <w:szCs w:val="20"/>
        </w:rPr>
        <w:t xml:space="preserve">Email à : dpo@eventylife.fr.</w:t>
      </w:r>
    </w:p>
    <w:p>
      <w:pPr>
        <w:pStyle w:val="ListParagraph"/>
        <w:numPr>
          <w:ilvl w:val="0"/>
          <w:numId w:val="2"/>
        </w:numPr>
        <w:spacing w:after="60" w:line="260"/>
      </w:pPr>
      <w:r>
        <w:rPr>
          <w:rFonts w:ascii="Calibri" w:cs="Calibri" w:eastAsia="Calibri" w:hAnsi="Calibri"/>
          <w:sz w:val="20"/>
          <w:szCs w:val="20"/>
        </w:rPr>
        <w:t xml:space="preserve">Réponse sous 30 jours maximum (RGPD article 12).</w:t>
      </w:r>
    </w:p>
    <w:p>
      <w:pPr>
        <w:pStyle w:val="ListParagraph"/>
        <w:numPr>
          <w:ilvl w:val="0"/>
          <w:numId w:val="2"/>
        </w:numPr>
        <w:spacing w:after="60" w:line="260"/>
      </w:pPr>
      <w:r>
        <w:rPr>
          <w:rFonts w:ascii="Calibri" w:cs="Calibri" w:eastAsia="Calibri" w:hAnsi="Calibri"/>
          <w:sz w:val="20"/>
          <w:szCs w:val="20"/>
        </w:rPr>
        <w:t xml:space="preserve">Pas de frais pour l'exercice des droits.</w:t>
      </w:r>
    </w:p>
    <w:p>
      <w:pPr>
        <w:pStyle w:val="ListParagraph"/>
        <w:numPr>
          <w:ilvl w:val="0"/>
          <w:numId w:val="2"/>
        </w:numPr>
        <w:spacing w:after="60" w:line="260"/>
      </w:pPr>
      <w:r>
        <w:rPr>
          <w:rFonts w:ascii="Calibri" w:cs="Calibri" w:eastAsia="Calibri" w:hAnsi="Calibri"/>
          <w:sz w:val="20"/>
          <w:szCs w:val="20"/>
        </w:rPr>
        <w:t xml:space="preserve">Recours possible auprès de la CNIL.</w:t>
      </w:r>
    </w:p>
    <w:p>
      <w:pPr>
        <w:spacing w:after="160" w:before="240"/>
      </w:pPr>
      <w:r>
        <w:rPr>
          <w:rFonts w:ascii="Calibri" w:cs="Calibri" w:eastAsia="Calibri" w:hAnsi="Calibri"/>
          <w:b/>
          <w:bCs/>
          <w:color w:val="1F4E79"/>
          <w:sz w:val="32"/>
          <w:szCs w:val="32"/>
        </w:rPr>
        <w:t xml:space="preserve">7. Sécurité des données</w:t>
      </w:r>
    </w:p>
    <w:p>
      <w:pPr>
        <w:pStyle w:val="ListParagraph"/>
        <w:numPr>
          <w:ilvl w:val="0"/>
          <w:numId w:val="2"/>
        </w:numPr>
        <w:spacing w:after="60" w:line="260"/>
      </w:pPr>
      <w:r>
        <w:rPr>
          <w:rFonts w:ascii="Calibri" w:cs="Calibri" w:eastAsia="Calibri" w:hAnsi="Calibri"/>
          <w:sz w:val="20"/>
          <w:szCs w:val="20"/>
        </w:rPr>
        <w:t xml:space="preserve">Cohérence avec Politique cybersécurité.</w:t>
      </w:r>
    </w:p>
    <w:p>
      <w:pPr>
        <w:pStyle w:val="ListParagraph"/>
        <w:numPr>
          <w:ilvl w:val="0"/>
          <w:numId w:val="2"/>
        </w:numPr>
        <w:spacing w:after="60" w:line="260"/>
      </w:pPr>
      <w:r>
        <w:rPr>
          <w:rFonts w:ascii="Calibri" w:cs="Calibri" w:eastAsia="Calibri" w:hAnsi="Calibri"/>
          <w:sz w:val="20"/>
          <w:szCs w:val="20"/>
        </w:rPr>
        <w:t xml:space="preserve">Hébergement Scaleway France (souveraineté numérique).</w:t>
      </w:r>
    </w:p>
    <w:p>
      <w:pPr>
        <w:pStyle w:val="ListParagraph"/>
        <w:numPr>
          <w:ilvl w:val="0"/>
          <w:numId w:val="2"/>
        </w:numPr>
        <w:spacing w:after="60" w:line="260"/>
      </w:pPr>
      <w:r>
        <w:rPr>
          <w:rFonts w:ascii="Calibri" w:cs="Calibri" w:eastAsia="Calibri" w:hAnsi="Calibri"/>
          <w:sz w:val="20"/>
          <w:szCs w:val="20"/>
        </w:rPr>
        <w:t xml:space="preserve">Chiffrement AES-256 au repos, TLS 1.3 en transit.</w:t>
      </w:r>
    </w:p>
    <w:p>
      <w:pPr>
        <w:pStyle w:val="ListParagraph"/>
        <w:numPr>
          <w:ilvl w:val="0"/>
          <w:numId w:val="2"/>
        </w:numPr>
        <w:spacing w:after="60" w:line="260"/>
      </w:pPr>
      <w:r>
        <w:rPr>
          <w:rFonts w:ascii="Calibri" w:cs="Calibri" w:eastAsia="Calibri" w:hAnsi="Calibri"/>
          <w:sz w:val="20"/>
          <w:szCs w:val="20"/>
        </w:rPr>
        <w:t xml:space="preserve">MFA obligatoire pour accès admin.</w:t>
      </w:r>
    </w:p>
    <w:p>
      <w:pPr>
        <w:pStyle w:val="ListParagraph"/>
        <w:numPr>
          <w:ilvl w:val="0"/>
          <w:numId w:val="2"/>
        </w:numPr>
        <w:spacing w:after="60" w:line="260"/>
      </w:pPr>
      <w:r>
        <w:rPr>
          <w:rFonts w:ascii="Calibri" w:cs="Calibri" w:eastAsia="Calibri" w:hAnsi="Calibri"/>
          <w:sz w:val="20"/>
          <w:szCs w:val="20"/>
        </w:rPr>
        <w:t xml:space="preserve">Audit annuel (cohérence Plan d'audit interne).</w:t>
      </w:r>
    </w:p>
    <w:p>
      <w:pPr>
        <w:spacing w:after="160" w:before="240"/>
      </w:pPr>
      <w:r>
        <w:rPr>
          <w:rFonts w:ascii="Calibri" w:cs="Calibri" w:eastAsia="Calibri" w:hAnsi="Calibri"/>
          <w:b/>
          <w:bCs/>
          <w:color w:val="1F4E79"/>
          <w:sz w:val="32"/>
          <w:szCs w:val="32"/>
        </w:rPr>
        <w:t xml:space="preserve">8. Cas particulier — données médicales</w:t>
      </w:r>
    </w:p>
    <w:p>
      <w:pPr>
        <w:pStyle w:val="ListParagraph"/>
        <w:numPr>
          <w:ilvl w:val="0"/>
          <w:numId w:val="2"/>
        </w:numPr>
        <w:spacing w:after="60" w:line="260"/>
      </w:pPr>
      <w:r>
        <w:rPr>
          <w:rFonts w:ascii="Calibri" w:cs="Calibri" w:eastAsia="Calibri" w:hAnsi="Calibri"/>
          <w:sz w:val="20"/>
          <w:szCs w:val="20"/>
        </w:rPr>
        <w:t xml:space="preserve">Catégorie spéciale RGPD article 9.</w:t>
      </w:r>
    </w:p>
    <w:p>
      <w:pPr>
        <w:pStyle w:val="ListParagraph"/>
        <w:numPr>
          <w:ilvl w:val="0"/>
          <w:numId w:val="2"/>
        </w:numPr>
        <w:spacing w:after="60" w:line="260"/>
      </w:pPr>
      <w:r>
        <w:rPr>
          <w:rFonts w:ascii="Calibri" w:cs="Calibri" w:eastAsia="Calibri" w:hAnsi="Calibri"/>
          <w:sz w:val="20"/>
          <w:szCs w:val="20"/>
        </w:rPr>
        <w:t xml:space="preserve">Chiffrement applicatif renforcé (champs colonne chiffrés).</w:t>
      </w:r>
    </w:p>
    <w:p>
      <w:pPr>
        <w:pStyle w:val="ListParagraph"/>
        <w:numPr>
          <w:ilvl w:val="0"/>
          <w:numId w:val="2"/>
        </w:numPr>
        <w:spacing w:after="60" w:line="260"/>
      </w:pPr>
      <w:r>
        <w:rPr>
          <w:rFonts w:ascii="Calibri" w:cs="Calibri" w:eastAsia="Calibri" w:hAnsi="Calibri"/>
          <w:sz w:val="20"/>
          <w:szCs w:val="20"/>
        </w:rPr>
        <w:t xml:space="preserve">Accès strictement limité (Pack Sérénité, accompagnateur briefé).</w:t>
      </w:r>
    </w:p>
    <w:p>
      <w:pPr>
        <w:pStyle w:val="ListParagraph"/>
        <w:numPr>
          <w:ilvl w:val="0"/>
          <w:numId w:val="2"/>
        </w:numPr>
        <w:spacing w:after="60" w:line="260"/>
      </w:pPr>
      <w:r>
        <w:rPr>
          <w:rFonts w:ascii="Calibri" w:cs="Calibri" w:eastAsia="Calibri" w:hAnsi="Calibri"/>
          <w:sz w:val="20"/>
          <w:szCs w:val="20"/>
        </w:rPr>
        <w:t xml:space="preserve">Suppression après le voyage (sauf comptabilité).</w:t>
      </w:r>
    </w:p>
    <w:p>
      <w:pPr>
        <w:spacing w:after="160" w:before="240"/>
      </w:pPr>
      <w:r>
        <w:rPr>
          <w:rFonts w:ascii="Calibri" w:cs="Calibri" w:eastAsia="Calibri" w:hAnsi="Calibri"/>
          <w:b/>
          <w:bCs/>
          <w:color w:val="1F4E79"/>
          <w:sz w:val="32"/>
          <w:szCs w:val="32"/>
        </w:rPr>
        <w:t xml:space="preserve">9. Engagements éthiques opposables</w:t>
      </w:r>
    </w:p>
    <w:p>
      <w:pPr>
        <w:pStyle w:val="ListParagraph"/>
        <w:numPr>
          <w:ilvl w:val="0"/>
          <w:numId w:val="2"/>
        </w:numPr>
        <w:spacing w:after="60" w:line="260"/>
      </w:pPr>
      <w:r>
        <w:rPr>
          <w:rFonts w:ascii="Calibri" w:cs="Calibri" w:eastAsia="Calibri" w:hAnsi="Calibri"/>
          <w:sz w:val="20"/>
          <w:szCs w:val="20"/>
        </w:rPr>
        <w:t xml:space="preserve">Refus absolu de la vente de données.</w:t>
      </w:r>
    </w:p>
    <w:p>
      <w:pPr>
        <w:pStyle w:val="ListParagraph"/>
        <w:numPr>
          <w:ilvl w:val="0"/>
          <w:numId w:val="2"/>
        </w:numPr>
        <w:spacing w:after="60" w:line="260"/>
      </w:pPr>
      <w:r>
        <w:rPr>
          <w:rFonts w:ascii="Calibri" w:cs="Calibri" w:eastAsia="Calibri" w:hAnsi="Calibri"/>
          <w:sz w:val="20"/>
          <w:szCs w:val="20"/>
        </w:rPr>
        <w:t xml:space="preserve">Refus du tracking comportemental tiers.</w:t>
      </w:r>
    </w:p>
    <w:p>
      <w:pPr>
        <w:pStyle w:val="ListParagraph"/>
        <w:numPr>
          <w:ilvl w:val="0"/>
          <w:numId w:val="2"/>
        </w:numPr>
        <w:spacing w:after="60" w:line="260"/>
      </w:pPr>
      <w:r>
        <w:rPr>
          <w:rFonts w:ascii="Calibri" w:cs="Calibri" w:eastAsia="Calibri" w:hAnsi="Calibri"/>
          <w:sz w:val="20"/>
          <w:szCs w:val="20"/>
        </w:rPr>
        <w:t xml:space="preserve">Souveraineté numérique préservée (hébergement France).</w:t>
      </w:r>
    </w:p>
    <w:p>
      <w:pPr>
        <w:pStyle w:val="ListParagraph"/>
        <w:numPr>
          <w:ilvl w:val="0"/>
          <w:numId w:val="2"/>
        </w:numPr>
        <w:spacing w:after="60" w:line="260"/>
      </w:pPr>
      <w:r>
        <w:rPr>
          <w:rFonts w:ascii="Calibri" w:cs="Calibri" w:eastAsia="Calibri" w:hAnsi="Calibri"/>
          <w:sz w:val="20"/>
          <w:szCs w:val="20"/>
        </w:rPr>
        <w:t xml:space="preserve">Transparence absolue sur les utilisations.</w:t>
      </w:r>
    </w:p>
    <w:p>
      <w:pPr>
        <w:pStyle w:val="ListParagraph"/>
        <w:numPr>
          <w:ilvl w:val="0"/>
          <w:numId w:val="2"/>
        </w:numPr>
        <w:spacing w:after="60" w:line="260"/>
      </w:pPr>
      <w:r>
        <w:rPr>
          <w:rFonts w:ascii="Calibri" w:cs="Calibri" w:eastAsia="Calibri" w:hAnsi="Calibri"/>
          <w:sz w:val="20"/>
          <w:szCs w:val="20"/>
        </w:rPr>
        <w:t xml:space="preserve">Réponse aux demandes d'exercice des droits sous 30 j.</w:t>
      </w:r>
    </w:p>
    <w:p>
      <w:pPr>
        <w:pStyle w:val="ListParagraph"/>
        <w:numPr>
          <w:ilvl w:val="0"/>
          <w:numId w:val="2"/>
        </w:numPr>
        <w:spacing w:after="60" w:line="260"/>
      </w:pPr>
      <w:r>
        <w:rPr>
          <w:rFonts w:ascii="Calibri" w:cs="Calibri" w:eastAsia="Calibri" w:hAnsi="Calibri"/>
          <w:sz w:val="20"/>
          <w:szCs w:val="20"/>
        </w:rPr>
        <w:t xml:space="preserve">Audit annuel de la politique.</w:t>
      </w:r>
    </w:p>
    <w:p>
      <w:pPr>
        <w:pStyle w:val="ListParagraph"/>
        <w:numPr>
          <w:ilvl w:val="0"/>
          <w:numId w:val="2"/>
        </w:numPr>
        <w:spacing w:after="60" w:line="260"/>
      </w:pPr>
      <w:r>
        <w:rPr>
          <w:rFonts w:ascii="Calibri" w:cs="Calibri" w:eastAsia="Calibri" w:hAnsi="Calibri"/>
          <w:sz w:val="20"/>
          <w:szCs w:val="20"/>
        </w:rPr>
        <w:t xml:space="preserve">Refus de l'IA générative non maîtrisée sur données voyageurs.</w:t>
      </w:r>
    </w:p>
    <w:p>
      <w:pPr>
        <w:spacing w:after="160" w:before="240"/>
      </w:pPr>
      <w:r>
        <w:rPr>
          <w:rFonts w:ascii="Calibri" w:cs="Calibri" w:eastAsia="Calibri" w:hAnsi="Calibri"/>
          <w:b/>
          <w:bCs/>
          <w:color w:val="1F4E79"/>
          <w:sz w:val="32"/>
          <w:szCs w:val="32"/>
        </w:rPr>
        <w:t xml:space="preserve">10.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Demandes RGPD traitées sous 30 j</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Cessions de données voyageurs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Cookies tiers non essentiels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Trackers Facebook Pixel / GA invasif</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CNIL</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annuel data éthique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de confidentialité RGPD, Politique cybersécurité, DPA Sous-traitance RGPD, Politique cookies, Roadmap technique, Documentation API publique, Politique de gestion documentaire, Politique support multicanal, Plan d'audit interne, Plan d'expérimentation et tests, Politique de communication interne.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data éthique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valorisation des données</dc:title>
  <dc:creator>David Eventy — Eventy Life SAS</dc:creator>
  <dc:description>Data éthique et utilisation responsable des données voyageurs.</dc:description>
  <cp:lastModifiedBy>Un-named</cp:lastModifiedBy>
  <cp:revision>1</cp:revision>
  <dcterms:created xsi:type="dcterms:W3CDTF">2026-05-02T05:53:07.146Z</dcterms:created>
  <dcterms:modified xsi:type="dcterms:W3CDTF">2026-05-02T05:53:07.146Z</dcterms:modified>
</cp:coreProperties>
</file>

<file path=docProps/custom.xml><?xml version="1.0" encoding="utf-8"?>
<Properties xmlns="http://schemas.openxmlformats.org/officeDocument/2006/custom-properties" xmlns:vt="http://schemas.openxmlformats.org/officeDocument/2006/docPropsVTypes"/>
</file>