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PACTE D'ASSOCIÉS — TOUR SEED</w:t>
            </w:r>
          </w:p>
          <w:p>
            <w:pPr>
              <w:spacing w:after="0"/>
              <w:jc w:val="center"/>
            </w:pPr>
            <w:r>
              <w:rPr>
                <w:rFonts w:ascii="Calibri" w:cs="Calibri" w:eastAsia="Calibri" w:hAnsi="Calibri"/>
                <w:i/>
                <w:iCs/>
                <w:color w:val="1F4E79"/>
                <w:sz w:val="18"/>
                <w:szCs w:val="18"/>
              </w:rPr>
              <w:t xml:space="preserve">Modèle type pour la levée Seed Eventy Life — version finalisable avec avocat</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pacte d'associés est un modèle type destiné à être finalisé entre EVENTY LIFE SAS, son fondateur et les investisseurs Seed lors de la première levée de fonds. Il complète les statuts de la société et organise les relations entre associés. Il doit être impérativement validé par un avocat spécialisé en droit des sociétés et en capital-risque avant signature.</w:t>
      </w:r>
    </w:p>
    <w:p>
      <w:pPr>
        <w:spacing w:after="100" w:before="220"/>
      </w:pPr>
      <w:r>
        <w:rPr>
          <w:rFonts w:ascii="Calibri" w:cs="Calibri" w:eastAsia="Calibri" w:hAnsi="Calibri"/>
          <w:b/>
          <w:bCs/>
          <w:color w:val="E87722"/>
          <w:sz w:val="22"/>
          <w:szCs w:val="22"/>
        </w:rPr>
        <w:t xml:space="preserve">Article 1 — Parties au pacte</w:t>
      </w:r>
    </w:p>
    <w:p>
      <w:pPr>
        <w:spacing w:after="100" w:line="280"/>
        <w:jc w:val="both"/>
      </w:pPr>
      <w:r>
        <w:rPr>
          <w:rFonts w:ascii="Calibri" w:cs="Calibri" w:eastAsia="Calibri" w:hAnsi="Calibri"/>
          <w:color w:val="1A1A1A"/>
          <w:sz w:val="20"/>
          <w:szCs w:val="20"/>
        </w:rPr>
        <w:t xml:space="preserve">Sont parties au présent pacte :</w:t>
      </w:r>
    </w:p>
    <w:p>
      <w:pPr>
        <w:pStyle w:val="ListParagraph"/>
        <w:numPr>
          <w:ilvl w:val="0"/>
          <w:numId w:val="2"/>
        </w:numPr>
        <w:spacing w:after="60" w:line="260"/>
      </w:pPr>
      <w:r>
        <w:rPr>
          <w:rFonts w:ascii="Calibri" w:cs="Calibri" w:eastAsia="Calibri" w:hAnsi="Calibri"/>
          <w:sz w:val="20"/>
          <w:szCs w:val="20"/>
        </w:rPr>
        <w:t xml:space="preserve">M. David Eventy, fondateur, président et associé majoritaire d'EVENTY LIFE SAS, ci-après dénommé « le Fondateur ».</w:t>
      </w:r>
    </w:p>
    <w:p>
      <w:pPr>
        <w:pStyle w:val="ListParagraph"/>
        <w:numPr>
          <w:ilvl w:val="0"/>
          <w:numId w:val="2"/>
        </w:numPr>
        <w:spacing w:after="60" w:line="260"/>
      </w:pPr>
      <w:r>
        <w:rPr>
          <w:rFonts w:ascii="Calibri" w:cs="Calibri" w:eastAsia="Calibri" w:hAnsi="Calibri"/>
          <w:sz w:val="20"/>
          <w:szCs w:val="20"/>
        </w:rPr>
        <w:t xml:space="preserve">Les investisseurs participant à la levée Seed, listés en Annexe 1, ci-après dénommés collectivement « les Investisseurs Seed » ou individuellement « l'Investisseur ».</w:t>
      </w:r>
    </w:p>
    <w:p>
      <w:pPr>
        <w:pStyle w:val="ListParagraph"/>
        <w:numPr>
          <w:ilvl w:val="0"/>
          <w:numId w:val="2"/>
        </w:numPr>
        <w:spacing w:after="60" w:line="260"/>
      </w:pPr>
      <w:r>
        <w:rPr>
          <w:rFonts w:ascii="Calibri" w:cs="Calibri" w:eastAsia="Calibri" w:hAnsi="Calibri"/>
          <w:sz w:val="20"/>
          <w:szCs w:val="20"/>
        </w:rPr>
        <w:t xml:space="preserve">EVENTY LIFE SAS, ci-après dénommée « la Société », pour les engagements pris en propre.</w:t>
      </w:r>
    </w:p>
    <w:p>
      <w:pPr>
        <w:spacing w:after="100" w:before="220"/>
      </w:pPr>
      <w:r>
        <w:rPr>
          <w:rFonts w:ascii="Calibri" w:cs="Calibri" w:eastAsia="Calibri" w:hAnsi="Calibri"/>
          <w:b/>
          <w:bCs/>
          <w:color w:val="E87722"/>
          <w:sz w:val="22"/>
          <w:szCs w:val="22"/>
        </w:rPr>
        <w:t xml:space="preserve">Article 2 — Objet du pacte</w:t>
      </w:r>
    </w:p>
    <w:p>
      <w:pPr>
        <w:spacing w:after="100" w:line="280"/>
        <w:jc w:val="both"/>
      </w:pPr>
      <w:r>
        <w:rPr>
          <w:rFonts w:ascii="Calibri" w:cs="Calibri" w:eastAsia="Calibri" w:hAnsi="Calibri"/>
          <w:color w:val="1A1A1A"/>
          <w:sz w:val="20"/>
          <w:szCs w:val="20"/>
        </w:rPr>
        <w:t xml:space="preserve">Le présent pacte a pour objet d'organiser les relations entre les Parties pendant toute la durée de leur participation au capital de la Société. Il complète les statuts sociaux sans s'y substituer. En cas de contradiction entre le pacte et les statuts, les statuts prévalent. Le pacte est destiné à protéger les intérêts respectifs du Fondateur et des Investisseurs et à organiser la gouvernance, les transferts d'actions, les liquidités et la sortie.</w:t>
      </w:r>
    </w:p>
    <w:p>
      <w:pPr>
        <w:spacing w:after="100" w:before="220"/>
      </w:pPr>
      <w:r>
        <w:rPr>
          <w:rFonts w:ascii="Calibri" w:cs="Calibri" w:eastAsia="Calibri" w:hAnsi="Calibri"/>
          <w:b/>
          <w:bCs/>
          <w:color w:val="E87722"/>
          <w:sz w:val="22"/>
          <w:szCs w:val="22"/>
        </w:rPr>
        <w:t xml:space="preserve">Article 3 — Investissement et valorisation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Paramètre</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Valeur de référence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Montant total levé Seed</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Entre 200 000 € et 300 000 € (à finaliser)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Valorisation pré-money</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 5 000 000 € (fourchette 4 à 6 M€ selon traction)</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Valorisation post-money</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Entre 5 200 000 € et 5 300 000 €</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Dilution Fondateur</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Entre 4 % et 6 %</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Forme d'investissement</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Augmentation de capital OU BSA-AIR (à arbitrer)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Liquidation préférence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non-participating (standard early-stage)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Anti-dilution</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Weighted average broad-based</w:t>
            </w:r>
          </w:p>
        </w:tc>
      </w:tr>
    </w:tbl>
    <w:p>
      <w:pPr>
        <w:spacing w:after="100" w:before="220"/>
      </w:pPr>
      <w:r>
        <w:rPr>
          <w:rFonts w:ascii="Calibri" w:cs="Calibri" w:eastAsia="Calibri" w:hAnsi="Calibri"/>
          <w:b/>
          <w:bCs/>
          <w:color w:val="E87722"/>
          <w:sz w:val="22"/>
          <w:szCs w:val="22"/>
        </w:rPr>
        <w:t xml:space="preserve">Article 4 — Gouvernance</w:t>
      </w:r>
    </w:p>
    <w:p>
      <w:pPr>
        <w:spacing w:after="100" w:line="280"/>
        <w:jc w:val="both"/>
      </w:pPr>
      <w:r>
        <w:rPr>
          <w:rFonts w:ascii="Calibri" w:cs="Calibri" w:eastAsia="Calibri" w:hAnsi="Calibri"/>
          <w:color w:val="1A1A1A"/>
          <w:sz w:val="20"/>
          <w:szCs w:val="20"/>
        </w:rPr>
        <w:t xml:space="preserve">Pendant la durée du pacte :</w:t>
      </w:r>
    </w:p>
    <w:p>
      <w:pPr>
        <w:pStyle w:val="ListParagraph"/>
        <w:numPr>
          <w:ilvl w:val="0"/>
          <w:numId w:val="2"/>
        </w:numPr>
        <w:spacing w:after="60" w:line="260"/>
      </w:pPr>
      <w:r>
        <w:rPr>
          <w:rFonts w:ascii="Calibri" w:cs="Calibri" w:eastAsia="Calibri" w:hAnsi="Calibri"/>
          <w:sz w:val="20"/>
          <w:szCs w:val="20"/>
        </w:rPr>
        <w:t xml:space="preserve">Le Fondateur conserve la présidence de la Société et le contrôle des décisions opérationnelles courantes.</w:t>
      </w:r>
    </w:p>
    <w:p>
      <w:pPr>
        <w:pStyle w:val="ListParagraph"/>
        <w:numPr>
          <w:ilvl w:val="0"/>
          <w:numId w:val="2"/>
        </w:numPr>
        <w:spacing w:after="60" w:line="260"/>
      </w:pPr>
      <w:r>
        <w:rPr>
          <w:rFonts w:ascii="Calibri" w:cs="Calibri" w:eastAsia="Calibri" w:hAnsi="Calibri"/>
          <w:sz w:val="20"/>
          <w:szCs w:val="20"/>
        </w:rPr>
        <w:t xml:space="preserve">Un comité d'investissement informel est constitué entre le Fondateur et les Investisseurs Seed représentant ensemble au moins 5 % du capital. Il se réunit trimestriellement (visio acceptée).</w:t>
      </w:r>
    </w:p>
    <w:p>
      <w:pPr>
        <w:pStyle w:val="ListParagraph"/>
        <w:numPr>
          <w:ilvl w:val="0"/>
          <w:numId w:val="2"/>
        </w:numPr>
        <w:spacing w:after="60" w:line="260"/>
      </w:pPr>
      <w:r>
        <w:rPr>
          <w:rFonts w:ascii="Calibri" w:cs="Calibri" w:eastAsia="Calibri" w:hAnsi="Calibri"/>
          <w:sz w:val="20"/>
          <w:szCs w:val="20"/>
        </w:rPr>
        <w:t xml:space="preserve">Les Investisseurs disposent d'un droit d'information renforcé : reporting trimestriel financier et opérationnel, accès aux comptes annuels et aux principaux indicateurs (CA, marge brute, voyageurs, trésorerie, ETP, indicateurs qualité).</w:t>
      </w:r>
    </w:p>
    <w:p>
      <w:pPr>
        <w:pStyle w:val="ListParagraph"/>
        <w:numPr>
          <w:ilvl w:val="0"/>
          <w:numId w:val="2"/>
        </w:numPr>
        <w:spacing w:after="60" w:line="260"/>
      </w:pPr>
      <w:r>
        <w:rPr>
          <w:rFonts w:ascii="Calibri" w:cs="Calibri" w:eastAsia="Calibri" w:hAnsi="Calibri"/>
          <w:sz w:val="20"/>
          <w:szCs w:val="20"/>
        </w:rPr>
        <w:t xml:space="preserve">Aucun siège d'administrateur n'est attribué de droit aux Investisseurs Seed (gouvernance simplifiée à ce stade).</w:t>
      </w:r>
    </w:p>
    <w:p>
      <w:pPr>
        <w:pStyle w:val="ListParagraph"/>
        <w:numPr>
          <w:ilvl w:val="0"/>
          <w:numId w:val="2"/>
        </w:numPr>
        <w:spacing w:after="60" w:line="260"/>
      </w:pPr>
      <w:r>
        <w:rPr>
          <w:rFonts w:ascii="Calibri" w:cs="Calibri" w:eastAsia="Calibri" w:hAnsi="Calibri"/>
          <w:sz w:val="20"/>
          <w:szCs w:val="20"/>
        </w:rPr>
        <w:t xml:space="preserve">La désignation d'un commissaire aux comptes facultatif peut être demandée par les Investisseurs détenant ensemble au moins 10 % du capital.</w:t>
      </w:r>
    </w:p>
    <w:p>
      <w:pPr>
        <w:spacing w:after="100" w:before="220"/>
      </w:pPr>
      <w:r>
        <w:rPr>
          <w:rFonts w:ascii="Calibri" w:cs="Calibri" w:eastAsia="Calibri" w:hAnsi="Calibri"/>
          <w:b/>
          <w:bCs/>
          <w:color w:val="E87722"/>
          <w:sz w:val="22"/>
          <w:szCs w:val="22"/>
        </w:rPr>
        <w:t xml:space="preserve">Article 5 — Décisions soumises à droit de veto</w:t>
      </w:r>
    </w:p>
    <w:p>
      <w:pPr>
        <w:spacing w:after="100" w:line="280"/>
        <w:jc w:val="both"/>
      </w:pPr>
      <w:r>
        <w:rPr>
          <w:rFonts w:ascii="Calibri" w:cs="Calibri" w:eastAsia="Calibri" w:hAnsi="Calibri"/>
          <w:color w:val="1A1A1A"/>
          <w:sz w:val="20"/>
          <w:szCs w:val="20"/>
        </w:rPr>
        <w:t xml:space="preserve">Sans préjudice des compétences du Président, les décisions suivantes ne peuvent être prises sans l'accord préalable des Investisseurs Seed représentant au moins 50 % du capital détenu par les Investisseurs :</w:t>
      </w:r>
    </w:p>
    <w:p>
      <w:pPr>
        <w:pStyle w:val="ListParagraph"/>
        <w:numPr>
          <w:ilvl w:val="0"/>
          <w:numId w:val="2"/>
        </w:numPr>
        <w:spacing w:after="60" w:line="260"/>
      </w:pPr>
      <w:r>
        <w:rPr>
          <w:rFonts w:ascii="Calibri" w:cs="Calibri" w:eastAsia="Calibri" w:hAnsi="Calibri"/>
          <w:sz w:val="20"/>
          <w:szCs w:val="20"/>
        </w:rPr>
        <w:t xml:space="preserve">Modification de l'objet social ou cessation d'une branche significative d'activité.</w:t>
      </w:r>
    </w:p>
    <w:p>
      <w:pPr>
        <w:pStyle w:val="ListParagraph"/>
        <w:numPr>
          <w:ilvl w:val="0"/>
          <w:numId w:val="2"/>
        </w:numPr>
        <w:spacing w:after="60" w:line="260"/>
      </w:pPr>
      <w:r>
        <w:rPr>
          <w:rFonts w:ascii="Calibri" w:cs="Calibri" w:eastAsia="Calibri" w:hAnsi="Calibri"/>
          <w:sz w:val="20"/>
          <w:szCs w:val="20"/>
        </w:rPr>
        <w:t xml:space="preserve">Ouverture du capital à un nouvel investisseur (Série A et au-delà) — préalable d'information requis.</w:t>
      </w:r>
    </w:p>
    <w:p>
      <w:pPr>
        <w:pStyle w:val="ListParagraph"/>
        <w:numPr>
          <w:ilvl w:val="0"/>
          <w:numId w:val="2"/>
        </w:numPr>
        <w:spacing w:after="60" w:line="260"/>
      </w:pPr>
      <w:r>
        <w:rPr>
          <w:rFonts w:ascii="Calibri" w:cs="Calibri" w:eastAsia="Calibri" w:hAnsi="Calibri"/>
          <w:sz w:val="20"/>
          <w:szCs w:val="20"/>
        </w:rPr>
        <w:t xml:space="preserve">Émission de toute valeur mobilière donnant accès au capital.</w:t>
      </w:r>
    </w:p>
    <w:p>
      <w:pPr>
        <w:pStyle w:val="ListParagraph"/>
        <w:numPr>
          <w:ilvl w:val="0"/>
          <w:numId w:val="2"/>
        </w:numPr>
        <w:spacing w:after="60" w:line="260"/>
      </w:pPr>
      <w:r>
        <w:rPr>
          <w:rFonts w:ascii="Calibri" w:cs="Calibri" w:eastAsia="Calibri" w:hAnsi="Calibri"/>
          <w:sz w:val="20"/>
          <w:szCs w:val="20"/>
        </w:rPr>
        <w:t xml:space="preserve">Cession d'actifs significatifs (&gt; 25 % du total bilan).</w:t>
      </w:r>
    </w:p>
    <w:p>
      <w:pPr>
        <w:pStyle w:val="ListParagraph"/>
        <w:numPr>
          <w:ilvl w:val="0"/>
          <w:numId w:val="2"/>
        </w:numPr>
        <w:spacing w:after="60" w:line="260"/>
      </w:pPr>
      <w:r>
        <w:rPr>
          <w:rFonts w:ascii="Calibri" w:cs="Calibri" w:eastAsia="Calibri" w:hAnsi="Calibri"/>
          <w:sz w:val="20"/>
          <w:szCs w:val="20"/>
        </w:rPr>
        <w:t xml:space="preserve">Prise ou cession de participation &gt; 10 % dans une société tierce.</w:t>
      </w:r>
    </w:p>
    <w:p>
      <w:pPr>
        <w:pStyle w:val="ListParagraph"/>
        <w:numPr>
          <w:ilvl w:val="0"/>
          <w:numId w:val="2"/>
        </w:numPr>
        <w:spacing w:after="60" w:line="260"/>
      </w:pPr>
      <w:r>
        <w:rPr>
          <w:rFonts w:ascii="Calibri" w:cs="Calibri" w:eastAsia="Calibri" w:hAnsi="Calibri"/>
          <w:sz w:val="20"/>
          <w:szCs w:val="20"/>
        </w:rPr>
        <w:t xml:space="preserve">Endettement bancaire significatif (&gt; 500 K€ ou &gt; 10 % du CA prévisionnel annuel).</w:t>
      </w:r>
    </w:p>
    <w:p>
      <w:pPr>
        <w:pStyle w:val="ListParagraph"/>
        <w:numPr>
          <w:ilvl w:val="0"/>
          <w:numId w:val="2"/>
        </w:numPr>
        <w:spacing w:after="60" w:line="260"/>
      </w:pPr>
      <w:r>
        <w:rPr>
          <w:rFonts w:ascii="Calibri" w:cs="Calibri" w:eastAsia="Calibri" w:hAnsi="Calibri"/>
          <w:sz w:val="20"/>
          <w:szCs w:val="20"/>
        </w:rPr>
        <w:t xml:space="preserve">Changement de Président ou de Directeur Général.</w:t>
      </w:r>
    </w:p>
    <w:p>
      <w:pPr>
        <w:pStyle w:val="ListParagraph"/>
        <w:numPr>
          <w:ilvl w:val="0"/>
          <w:numId w:val="2"/>
        </w:numPr>
        <w:spacing w:after="60" w:line="260"/>
      </w:pPr>
      <w:r>
        <w:rPr>
          <w:rFonts w:ascii="Calibri" w:cs="Calibri" w:eastAsia="Calibri" w:hAnsi="Calibri"/>
          <w:sz w:val="20"/>
          <w:szCs w:val="20"/>
        </w:rPr>
        <w:t xml:space="preserve">Distribution exceptionnelle de dividendes (au-delà de la politique standard de réinvestissement).</w:t>
      </w:r>
    </w:p>
    <w:p>
      <w:pPr>
        <w:pStyle w:val="ListParagraph"/>
        <w:numPr>
          <w:ilvl w:val="0"/>
          <w:numId w:val="2"/>
        </w:numPr>
        <w:spacing w:after="60" w:line="260"/>
      </w:pPr>
      <w:r>
        <w:rPr>
          <w:rFonts w:ascii="Calibri" w:cs="Calibri" w:eastAsia="Calibri" w:hAnsi="Calibri"/>
          <w:sz w:val="20"/>
          <w:szCs w:val="20"/>
        </w:rPr>
        <w:t xml:space="preserve">Toute opération de restructuration, fusion, scission, dissolution.</w:t>
      </w:r>
    </w:p>
    <w:p>
      <w:pPr>
        <w:spacing w:after="100" w:before="220"/>
      </w:pPr>
      <w:r>
        <w:rPr>
          <w:rFonts w:ascii="Calibri" w:cs="Calibri" w:eastAsia="Calibri" w:hAnsi="Calibri"/>
          <w:b/>
          <w:bCs/>
          <w:color w:val="E87722"/>
          <w:sz w:val="22"/>
          <w:szCs w:val="22"/>
        </w:rPr>
        <w:t xml:space="preserve">Article 6 — Cession des actions</w:t>
      </w:r>
    </w:p>
    <w:p>
      <w:pPr>
        <w:spacing w:after="80" w:before="180"/>
      </w:pPr>
      <w:r>
        <w:rPr>
          <w:rFonts w:ascii="Calibri" w:cs="Calibri" w:eastAsia="Calibri" w:hAnsi="Calibri"/>
          <w:b/>
          <w:bCs/>
          <w:color w:val="1F4E79"/>
          <w:sz w:val="20"/>
          <w:szCs w:val="20"/>
        </w:rPr>
        <w:t xml:space="preserve">6.1. Inaliénabilité du Fondateur</w:t>
      </w:r>
    </w:p>
    <w:p>
      <w:pPr>
        <w:spacing w:after="100" w:line="280"/>
        <w:jc w:val="both"/>
      </w:pPr>
      <w:r>
        <w:rPr>
          <w:rFonts w:ascii="Calibri" w:cs="Calibri" w:eastAsia="Calibri" w:hAnsi="Calibri"/>
          <w:color w:val="1A1A1A"/>
          <w:sz w:val="20"/>
          <w:szCs w:val="20"/>
        </w:rPr>
        <w:t xml:space="preserve">Le Fondateur s'engage à ne pas céder tout ou partie de ses actions de la Société pendant une durée minimale de trente-six (36) mois à compter de la signature du pacte, sauf accord exprès et écrit des Investisseurs Seed représentant au moins 75 % du capital détenu par eux.</w:t>
      </w:r>
    </w:p>
    <w:p>
      <w:pPr>
        <w:spacing w:after="80" w:before="180"/>
      </w:pPr>
      <w:r>
        <w:rPr>
          <w:rFonts w:ascii="Calibri" w:cs="Calibri" w:eastAsia="Calibri" w:hAnsi="Calibri"/>
          <w:b/>
          <w:bCs/>
          <w:color w:val="1F4E79"/>
          <w:sz w:val="20"/>
          <w:szCs w:val="20"/>
        </w:rPr>
        <w:t xml:space="preserve">6.2. Droit de préemption</w:t>
      </w:r>
    </w:p>
    <w:p>
      <w:pPr>
        <w:spacing w:after="100" w:line="280"/>
        <w:jc w:val="both"/>
      </w:pPr>
      <w:r>
        <w:rPr>
          <w:rFonts w:ascii="Calibri" w:cs="Calibri" w:eastAsia="Calibri" w:hAnsi="Calibri"/>
          <w:color w:val="1A1A1A"/>
          <w:sz w:val="20"/>
          <w:szCs w:val="20"/>
        </w:rPr>
        <w:t xml:space="preserve">Toute cession projetée par un associé fait l'objet d'une notification préalable aux autres associés, qui disposent d'un droit de préemption proportionnel à leur participation au capital, à exercer dans un délai de trente (30) jours.</w:t>
      </w:r>
    </w:p>
    <w:p>
      <w:pPr>
        <w:spacing w:after="80" w:before="180"/>
      </w:pPr>
      <w:r>
        <w:rPr>
          <w:rFonts w:ascii="Calibri" w:cs="Calibri" w:eastAsia="Calibri" w:hAnsi="Calibri"/>
          <w:b/>
          <w:bCs/>
          <w:color w:val="1F4E79"/>
          <w:sz w:val="20"/>
          <w:szCs w:val="20"/>
        </w:rPr>
        <w:t xml:space="preserve">6.3. Droit de sortie conjointe (Tag-along)</w:t>
      </w:r>
    </w:p>
    <w:p>
      <w:pPr>
        <w:spacing w:after="100" w:line="280"/>
        <w:jc w:val="both"/>
      </w:pPr>
      <w:r>
        <w:rPr>
          <w:rFonts w:ascii="Calibri" w:cs="Calibri" w:eastAsia="Calibri" w:hAnsi="Calibri"/>
          <w:color w:val="1A1A1A"/>
          <w:sz w:val="20"/>
          <w:szCs w:val="20"/>
        </w:rPr>
        <w:t xml:space="preserve">Si le Fondateur projette de céder à un tiers plus de 25 % de ses actions, les Investisseurs Seed disposent d'un droit de sortie conjointe leur permettant de céder leurs propres actions au même tiers, aux mêmes conditions et au prorata.</w:t>
      </w:r>
    </w:p>
    <w:p>
      <w:pPr>
        <w:spacing w:after="80" w:before="180"/>
      </w:pPr>
      <w:r>
        <w:rPr>
          <w:rFonts w:ascii="Calibri" w:cs="Calibri" w:eastAsia="Calibri" w:hAnsi="Calibri"/>
          <w:b/>
          <w:bCs/>
          <w:color w:val="1F4E79"/>
          <w:sz w:val="20"/>
          <w:szCs w:val="20"/>
        </w:rPr>
        <w:t xml:space="preserve">6.4. Droit d'entraînement (Drag-along)</w:t>
      </w:r>
    </w:p>
    <w:p>
      <w:pPr>
        <w:spacing w:after="100" w:line="280"/>
        <w:jc w:val="both"/>
      </w:pPr>
      <w:r>
        <w:rPr>
          <w:rFonts w:ascii="Calibri" w:cs="Calibri" w:eastAsia="Calibri" w:hAnsi="Calibri"/>
          <w:color w:val="1A1A1A"/>
          <w:sz w:val="20"/>
          <w:szCs w:val="20"/>
        </w:rPr>
        <w:t xml:space="preserve">En cas d'offre tierce de bonne foi portant sur 100 % du capital de la Société, à un prix au moins égal à la valorisation post-money de la levée Seed multipliée par cinq (5×), les associés représentant ensemble plus de 75 % du capital peuvent contraindre les associés minoritaires à céder leurs actions au tiers acquéreur, aux mêmes conditions.</w:t>
      </w:r>
    </w:p>
    <w:p>
      <w:pPr>
        <w:spacing w:after="100" w:before="220"/>
      </w:pPr>
      <w:r>
        <w:rPr>
          <w:rFonts w:ascii="Calibri" w:cs="Calibri" w:eastAsia="Calibri" w:hAnsi="Calibri"/>
          <w:b/>
          <w:bCs/>
          <w:color w:val="E87722"/>
          <w:sz w:val="22"/>
          <w:szCs w:val="22"/>
        </w:rPr>
        <w:t xml:space="preserve">Article 7 — Anti-dilution</w:t>
      </w:r>
    </w:p>
    <w:p>
      <w:pPr>
        <w:spacing w:after="100" w:line="280"/>
        <w:jc w:val="both"/>
      </w:pPr>
      <w:r>
        <w:rPr>
          <w:rFonts w:ascii="Calibri" w:cs="Calibri" w:eastAsia="Calibri" w:hAnsi="Calibri"/>
          <w:color w:val="1A1A1A"/>
          <w:sz w:val="20"/>
          <w:szCs w:val="20"/>
        </w:rPr>
        <w:t xml:space="preserve">En cas d'augmentation de capital ultérieure (Série A, Série B, etc.) à un prix par action inférieur au prix de souscription du tour Seed, les Investisseurs Seed bénéficieront d'un mécanisme d'anti-dilution dit « weighted average broad-based » permettant de réajuster leur participation pour limiter la dilution.</w:t>
      </w:r>
    </w:p>
    <w:p>
      <w:pPr>
        <w:spacing w:after="100" w:before="220"/>
      </w:pPr>
      <w:r>
        <w:rPr>
          <w:rFonts w:ascii="Calibri" w:cs="Calibri" w:eastAsia="Calibri" w:hAnsi="Calibri"/>
          <w:b/>
          <w:bCs/>
          <w:color w:val="E87722"/>
          <w:sz w:val="22"/>
          <w:szCs w:val="22"/>
        </w:rPr>
        <w:t xml:space="preserve">Article 8 — Liquidation préférence</w:t>
      </w:r>
    </w:p>
    <w:p>
      <w:pPr>
        <w:spacing w:after="100" w:line="280"/>
        <w:jc w:val="both"/>
      </w:pPr>
      <w:r>
        <w:rPr>
          <w:rFonts w:ascii="Calibri" w:cs="Calibri" w:eastAsia="Calibri" w:hAnsi="Calibri"/>
          <w:color w:val="1A1A1A"/>
          <w:sz w:val="20"/>
          <w:szCs w:val="20"/>
        </w:rPr>
        <w:t xml:space="preserve">En cas d'opération de liquidation, vente, fusion, ou tout événement assimilé entraînant une distribution aux associés, les Investisseurs Seed bénéficieront d'une préférence de liquidation égale à une (1) fois leur investissement, en non-participating (« 1× non-participating »). Au-delà de ce seuil, le solde est réparti entre tous les associés au prorata de leur participation au capital.</w:t>
      </w:r>
    </w:p>
    <w:p>
      <w:pPr>
        <w:spacing w:after="100" w:before="220"/>
      </w:pPr>
      <w:r>
        <w:rPr>
          <w:rFonts w:ascii="Calibri" w:cs="Calibri" w:eastAsia="Calibri" w:hAnsi="Calibri"/>
          <w:b/>
          <w:bCs/>
          <w:color w:val="E87722"/>
          <w:sz w:val="22"/>
          <w:szCs w:val="22"/>
        </w:rPr>
        <w:t xml:space="preserve">Article 9 — Engagement du Fondateur</w:t>
      </w:r>
    </w:p>
    <w:p>
      <w:pPr>
        <w:pStyle w:val="ListParagraph"/>
        <w:numPr>
          <w:ilvl w:val="0"/>
          <w:numId w:val="2"/>
        </w:numPr>
        <w:spacing w:after="60" w:line="260"/>
      </w:pPr>
      <w:r>
        <w:rPr>
          <w:rFonts w:ascii="Calibri" w:cs="Calibri" w:eastAsia="Calibri" w:hAnsi="Calibri"/>
          <w:sz w:val="20"/>
          <w:szCs w:val="20"/>
        </w:rPr>
        <w:t xml:space="preserve">Engagement de plein temps : le Fondateur s'engage à consacrer la totalité de son temps professionnel à la Société pendant toute la durée du pacte (sauf activité accessoire mineure préalablement notifiée et acceptée).</w:t>
      </w:r>
    </w:p>
    <w:p>
      <w:pPr>
        <w:pStyle w:val="ListParagraph"/>
        <w:numPr>
          <w:ilvl w:val="0"/>
          <w:numId w:val="2"/>
        </w:numPr>
        <w:spacing w:after="60" w:line="260"/>
      </w:pPr>
      <w:r>
        <w:rPr>
          <w:rFonts w:ascii="Calibri" w:cs="Calibri" w:eastAsia="Calibri" w:hAnsi="Calibri"/>
          <w:sz w:val="20"/>
          <w:szCs w:val="20"/>
        </w:rPr>
        <w:t xml:space="preserve">Non-concurrence : le Fondateur s'interdit d'exercer une activité concurrente de la Société pendant toute la durée du pacte et pendant douze (12) mois après la cessation de ses fonctions.</w:t>
      </w:r>
    </w:p>
    <w:p>
      <w:pPr>
        <w:pStyle w:val="ListParagraph"/>
        <w:numPr>
          <w:ilvl w:val="0"/>
          <w:numId w:val="2"/>
        </w:numPr>
        <w:spacing w:after="60" w:line="260"/>
      </w:pPr>
      <w:r>
        <w:rPr>
          <w:rFonts w:ascii="Calibri" w:cs="Calibri" w:eastAsia="Calibri" w:hAnsi="Calibri"/>
          <w:sz w:val="20"/>
          <w:szCs w:val="20"/>
        </w:rPr>
        <w:t xml:space="preserve">Engagement de cession en cas de manquement grave : en cas de faute grave caractérisée du Fondateur entraînant sa révocation, les Investisseurs peuvent racheter ses actions à la valeur déterminée par expertise indépendante.</w:t>
      </w:r>
    </w:p>
    <w:p>
      <w:pPr>
        <w:pStyle w:val="ListParagraph"/>
        <w:numPr>
          <w:ilvl w:val="0"/>
          <w:numId w:val="2"/>
        </w:numPr>
        <w:spacing w:after="60" w:line="260"/>
      </w:pPr>
      <w:r>
        <w:rPr>
          <w:rFonts w:ascii="Calibri" w:cs="Calibri" w:eastAsia="Calibri" w:hAnsi="Calibri"/>
          <w:sz w:val="20"/>
          <w:szCs w:val="20"/>
        </w:rPr>
        <w:t xml:space="preserve">Maintien de la garantie financière APST et de la RC Pro : engagement personnel du Fondateur de veiller au maintien permanent des garanties réglementaires.</w:t>
      </w:r>
    </w:p>
    <w:p>
      <w:pPr>
        <w:spacing w:after="100" w:before="220"/>
      </w:pPr>
      <w:r>
        <w:rPr>
          <w:rFonts w:ascii="Calibri" w:cs="Calibri" w:eastAsia="Calibri" w:hAnsi="Calibri"/>
          <w:b/>
          <w:bCs/>
          <w:color w:val="E87722"/>
          <w:sz w:val="22"/>
          <w:szCs w:val="22"/>
        </w:rPr>
        <w:t xml:space="preserve">Article 10 — Confidentialité</w:t>
      </w:r>
    </w:p>
    <w:p>
      <w:pPr>
        <w:spacing w:after="100" w:line="280"/>
        <w:jc w:val="both"/>
      </w:pPr>
      <w:r>
        <w:rPr>
          <w:rFonts w:ascii="Calibri" w:cs="Calibri" w:eastAsia="Calibri" w:hAnsi="Calibri"/>
          <w:color w:val="1A1A1A"/>
          <w:sz w:val="20"/>
          <w:szCs w:val="20"/>
        </w:rPr>
        <w:t xml:space="preserve">Les Parties s'engagent à respecter la stricte confidentialité du présent pacte, des informations commerciales, financières et techniques échangées dans le cadre de la levée et du suivi de l'investissement. Cette obligation perdure cinq (5) ans après la cessation de la qualité d'associé.</w:t>
      </w:r>
    </w:p>
    <w:p>
      <w:pPr>
        <w:spacing w:after="100" w:before="220"/>
      </w:pPr>
      <w:r>
        <w:rPr>
          <w:rFonts w:ascii="Calibri" w:cs="Calibri" w:eastAsia="Calibri" w:hAnsi="Calibri"/>
          <w:b/>
          <w:bCs/>
          <w:color w:val="E87722"/>
          <w:sz w:val="22"/>
          <w:szCs w:val="22"/>
        </w:rPr>
        <w:t xml:space="preserve">Article 11 — Durée et résiliation</w:t>
      </w:r>
    </w:p>
    <w:p>
      <w:pPr>
        <w:spacing w:after="100" w:line="280"/>
        <w:jc w:val="both"/>
      </w:pPr>
      <w:r>
        <w:rPr>
          <w:rFonts w:ascii="Calibri" w:cs="Calibri" w:eastAsia="Calibri" w:hAnsi="Calibri"/>
          <w:color w:val="1A1A1A"/>
          <w:sz w:val="20"/>
          <w:szCs w:val="20"/>
        </w:rPr>
        <w:t xml:space="preserve">Le présent pacte est conclu pour la durée d'existence de la Société et tant qu'au moins un Investisseur Seed reste associé de la Société. Il prend fin de plein droit à l'égard d'un Investisseur dès qu'il cesse d'être associé. Le pacte peut être renouvelé ou modifié par avenant unanime des Parties.</w:t>
      </w:r>
    </w:p>
    <w:p>
      <w:pPr>
        <w:spacing w:after="100" w:before="220"/>
      </w:pPr>
      <w:r>
        <w:rPr>
          <w:rFonts w:ascii="Calibri" w:cs="Calibri" w:eastAsia="Calibri" w:hAnsi="Calibri"/>
          <w:b/>
          <w:bCs/>
          <w:color w:val="E87722"/>
          <w:sz w:val="22"/>
          <w:szCs w:val="22"/>
        </w:rPr>
        <w:t xml:space="preserve">Article 12 — Loi applicable et juridiction</w:t>
      </w:r>
    </w:p>
    <w:p>
      <w:pPr>
        <w:spacing w:after="100" w:line="280"/>
        <w:jc w:val="both"/>
      </w:pPr>
      <w:r>
        <w:rPr>
          <w:rFonts w:ascii="Calibri" w:cs="Calibri" w:eastAsia="Calibri" w:hAnsi="Calibri"/>
          <w:color w:val="1A1A1A"/>
          <w:sz w:val="20"/>
          <w:szCs w:val="20"/>
        </w:rPr>
        <w:t xml:space="preserve">Le présent pacte est soumis au droit français. Tout litige sera soumis, à défaut d'accord amiable préalable, aux tribunaux compétents conformément au Code de procédure civile. Les Parties privilégieront la médiation préalable.</w:t>
      </w:r>
    </w:p>
    <w:p>
      <w:pPr>
        <w:spacing w:after="180"/>
      </w:pPr>
      <w:r>
        <w:t xml:space="preserve"/>
      </w:r>
    </w:p>
    <w:p>
      <w:pPr>
        <w:spacing w:after="200" w:line="280"/>
        <w:jc w:val="both"/>
      </w:pPr>
      <w:r>
        <w:rPr>
          <w:rFonts w:ascii="Calibri" w:cs="Calibri" w:eastAsia="Calibri" w:hAnsi="Calibri"/>
          <w:i/>
          <w:iCs/>
          <w:color w:val="1A1A1A"/>
          <w:sz w:val="20"/>
          <w:szCs w:val="20"/>
        </w:rPr>
        <w:t xml:space="preserve">Fait à [Ville], le [Date], en autant d'originaux que de Parties signataires.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Le Fondateur</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date)</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Les Investisseurs Seed</w:t>
            </w:r>
          </w:p>
          <w:p>
            <w:pPr>
              <w:spacing w:after="360" w:before="80"/>
              <w:jc w:val="center"/>
            </w:pPr>
            <w:r>
              <w:rPr>
                <w:rFonts w:ascii="Calibri" w:cs="Calibri" w:eastAsia="Calibri" w:hAnsi="Calibri"/>
                <w:sz w:val="18"/>
                <w:szCs w:val="18"/>
              </w:rPr>
              <w:t xml:space="preserve">[Nom Prénom + qualité]</w:t>
            </w:r>
          </w:p>
          <w:p>
            <w:pPr>
              <w:jc w:val="center"/>
            </w:pPr>
            <w:r>
              <w:rPr>
                <w:rFonts w:ascii="Calibri" w:cs="Calibri" w:eastAsia="Calibri" w:hAnsi="Calibri"/>
                <w:i/>
                <w:iCs/>
                <w:color w:val="555555"/>
                <w:sz w:val="16"/>
                <w:szCs w:val="16"/>
              </w:rPr>
              <w:t xml:space="preserve">(signature manuscrite + mention « Lu et approuvé »)</w:t>
            </w:r>
          </w:p>
        </w:tc>
      </w:tr>
    </w:tbl>
    <w:p>
      <w:pPr>
        <w:spacing w:after="160"/>
      </w:pPr>
      <w:r>
        <w:t xml:space="preserve"/>
      </w:r>
    </w:p>
    <w:p>
      <w:pPr>
        <w:spacing w:after="100" w:line="280"/>
        <w:jc w:val="both"/>
      </w:pPr>
      <w:r>
        <w:rPr>
          <w:rFonts w:ascii="Calibri" w:cs="Calibri" w:eastAsia="Calibri" w:hAnsi="Calibri"/>
          <w:i/>
          <w:iCs/>
          <w:color w:val="555555"/>
          <w:sz w:val="18"/>
          <w:szCs w:val="18"/>
        </w:rPr>
        <w:t xml:space="preserve">Modèle TYPE — à finaliser et adapter avec un avocat spécialisé en droit des sociétés et capital-risque avant signature. Les clauses précises (taux d'intérêt sur BSA-AIR, ratchet, etc.) sont à compléter au moment de la levée effective.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Pacte d'associés Seed</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Pacte d'associés type Seed</dc:title>
  <dc:creator>David Eventy — Eventy Life SAS</dc:creator>
  <dc:description>Modèle de pacte d'associés pour la levée Seed Eventy Life.</dc:description>
  <cp:lastModifiedBy>Un-named</cp:lastModifiedBy>
  <cp:revision>1</cp:revision>
  <dcterms:created xsi:type="dcterms:W3CDTF">2026-04-30T07:54:30.832Z</dcterms:created>
  <dcterms:modified xsi:type="dcterms:W3CDTF">2026-04-30T07:54:30.832Z</dcterms:modified>
</cp:coreProperties>
</file>

<file path=docProps/custom.xml><?xml version="1.0" encoding="utf-8"?>
<Properties xmlns="http://schemas.openxmlformats.org/officeDocument/2006/custom-properties" xmlns:vt="http://schemas.openxmlformats.org/officeDocument/2006/docPropsVTypes"/>
</file>