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CHARTE FOURNISSEURS EVENTY LIFE</w:t>
            </w:r>
          </w:p>
          <w:p>
            <w:pPr>
              <w:spacing w:after="0"/>
              <w:jc w:val="center"/>
            </w:pPr>
            <w:r>
              <w:rPr>
                <w:rFonts w:ascii="Calibri" w:cs="Calibri" w:eastAsia="Calibri" w:hAnsi="Calibri"/>
                <w:i/>
                <w:iCs/>
                <w:color w:val="1F4E79"/>
                <w:sz w:val="18"/>
                <w:szCs w:val="18"/>
              </w:rPr>
              <w:t xml:space="preserve">Code de conduite des partenaires HRA, transporteurs et prestataires terrain</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charte fournisseurs formalise les engagements éthiques, environnementaux, sociaux et opérationnels que tout partenaire HRA, transporteur ou prestataire terrain s'engage à respecter dans le cadre de sa relation avec EVENTY LIFE SAS. Elle complète le Contrat-cadre HRA Partenaire (Article 4 — Standards de qualité) et la Politique RSE Eventy.</w:t>
      </w:r>
    </w:p>
    <w:p>
      <w:pPr>
        <w:spacing w:after="100" w:line="280"/>
        <w:jc w:val="both"/>
      </w:pPr>
      <w:r>
        <w:rPr>
          <w:rFonts w:ascii="Calibri" w:cs="Calibri" w:eastAsia="Calibri" w:hAnsi="Calibri"/>
          <w:i/>
          <w:iCs/>
          <w:color w:val="1A1A1A"/>
          <w:sz w:val="20"/>
          <w:szCs w:val="20"/>
        </w:rPr>
        <w:t xml:space="preserve">La signature de la présente charte est une condition préalable au référencement dans le catalogue Eventy. Tout manquement avéré peut entraîner, après mise en demeure restée sans effet sous 15 jours, le déréférencement définitif du partenaire.</w:t>
      </w:r>
    </w:p>
    <w:p>
      <w:pPr>
        <w:spacing w:after="160" w:before="240"/>
      </w:pPr>
      <w:r>
        <w:rPr>
          <w:rFonts w:ascii="Calibri" w:cs="Calibri" w:eastAsia="Calibri" w:hAnsi="Calibri"/>
          <w:b/>
          <w:bCs/>
          <w:color w:val="1F4E79"/>
          <w:sz w:val="32"/>
          <w:szCs w:val="32"/>
        </w:rPr>
        <w:t xml:space="preserve">1. Engagement éthique</w:t>
      </w:r>
    </w:p>
    <w:p>
      <w:pPr>
        <w:spacing w:after="100" w:before="220"/>
      </w:pPr>
      <w:r>
        <w:rPr>
          <w:rFonts w:ascii="Calibri" w:cs="Calibri" w:eastAsia="Calibri" w:hAnsi="Calibri"/>
          <w:b/>
          <w:bCs/>
          <w:color w:val="E87722"/>
          <w:sz w:val="22"/>
          <w:szCs w:val="22"/>
        </w:rPr>
        <w:t xml:space="preserve">1.1. Probité et intégrité</w:t>
      </w:r>
    </w:p>
    <w:p>
      <w:pPr>
        <w:pStyle w:val="ListParagraph"/>
        <w:numPr>
          <w:ilvl w:val="0"/>
          <w:numId w:val="2"/>
        </w:numPr>
        <w:spacing w:after="60" w:line="260"/>
      </w:pPr>
      <w:r>
        <w:rPr>
          <w:rFonts w:ascii="Calibri" w:cs="Calibri" w:eastAsia="Calibri" w:hAnsi="Calibri"/>
          <w:sz w:val="20"/>
          <w:szCs w:val="20"/>
        </w:rPr>
        <w:t xml:space="preserve">Refus de toute pratique de corruption, de concussion ou de trafic d'influence (loi Sapin 2 et au-delà).</w:t>
      </w:r>
    </w:p>
    <w:p>
      <w:pPr>
        <w:pStyle w:val="ListParagraph"/>
        <w:numPr>
          <w:ilvl w:val="0"/>
          <w:numId w:val="2"/>
        </w:numPr>
        <w:spacing w:after="60" w:line="260"/>
      </w:pPr>
      <w:r>
        <w:rPr>
          <w:rFonts w:ascii="Calibri" w:cs="Calibri" w:eastAsia="Calibri" w:hAnsi="Calibri"/>
          <w:sz w:val="20"/>
          <w:szCs w:val="20"/>
        </w:rPr>
        <w:t xml:space="preserve">Aucun cadeau ni avantage sollicité ou accepté en contrepartie d'un référencement préférentiel.</w:t>
      </w:r>
    </w:p>
    <w:p>
      <w:pPr>
        <w:pStyle w:val="ListParagraph"/>
        <w:numPr>
          <w:ilvl w:val="0"/>
          <w:numId w:val="2"/>
        </w:numPr>
        <w:spacing w:after="60" w:line="260"/>
      </w:pPr>
      <w:r>
        <w:rPr>
          <w:rFonts w:ascii="Calibri" w:cs="Calibri" w:eastAsia="Calibri" w:hAnsi="Calibri"/>
          <w:sz w:val="20"/>
          <w:szCs w:val="20"/>
        </w:rPr>
        <w:t xml:space="preserve">Refus de toute pratique commerciale trompeuse (descriptions fausses, photos non conformes, prix factices).</w:t>
      </w:r>
    </w:p>
    <w:p>
      <w:pPr>
        <w:pStyle w:val="ListParagraph"/>
        <w:numPr>
          <w:ilvl w:val="0"/>
          <w:numId w:val="2"/>
        </w:numPr>
        <w:spacing w:after="60" w:line="260"/>
      </w:pPr>
      <w:r>
        <w:rPr>
          <w:rFonts w:ascii="Calibri" w:cs="Calibri" w:eastAsia="Calibri" w:hAnsi="Calibri"/>
          <w:sz w:val="20"/>
          <w:szCs w:val="20"/>
        </w:rPr>
        <w:t xml:space="preserve">Tarification loyale — pas de surfacturation, pas de double facturation.</w:t>
      </w:r>
    </w:p>
    <w:p>
      <w:pPr>
        <w:spacing w:after="100" w:before="220"/>
      </w:pPr>
      <w:r>
        <w:rPr>
          <w:rFonts w:ascii="Calibri" w:cs="Calibri" w:eastAsia="Calibri" w:hAnsi="Calibri"/>
          <w:b/>
          <w:bCs/>
          <w:color w:val="E87722"/>
          <w:sz w:val="22"/>
          <w:szCs w:val="22"/>
        </w:rPr>
        <w:t xml:space="preserve">1.2. Respect des lois locales</w:t>
      </w:r>
    </w:p>
    <w:p>
      <w:pPr>
        <w:pStyle w:val="ListParagraph"/>
        <w:numPr>
          <w:ilvl w:val="0"/>
          <w:numId w:val="2"/>
        </w:numPr>
        <w:spacing w:after="60" w:line="260"/>
      </w:pPr>
      <w:r>
        <w:rPr>
          <w:rFonts w:ascii="Calibri" w:cs="Calibri" w:eastAsia="Calibri" w:hAnsi="Calibri"/>
          <w:sz w:val="20"/>
          <w:szCs w:val="20"/>
        </w:rPr>
        <w:t xml:space="preserve">Conformité avec les lois et règlements applicables localement (hygiène, sécurité, fiscalité, droit du travail).</w:t>
      </w:r>
    </w:p>
    <w:p>
      <w:pPr>
        <w:pStyle w:val="ListParagraph"/>
        <w:numPr>
          <w:ilvl w:val="0"/>
          <w:numId w:val="2"/>
        </w:numPr>
        <w:spacing w:after="60" w:line="260"/>
      </w:pPr>
      <w:r>
        <w:rPr>
          <w:rFonts w:ascii="Calibri" w:cs="Calibri" w:eastAsia="Calibri" w:hAnsi="Calibri"/>
          <w:sz w:val="20"/>
          <w:szCs w:val="20"/>
        </w:rPr>
        <w:t xml:space="preserve">Détention des autorisations, agréments et certifications requis (HACCP restauration, classement étoiles hôtellerie, agréments activités).</w:t>
      </w:r>
    </w:p>
    <w:p>
      <w:pPr>
        <w:pStyle w:val="ListParagraph"/>
        <w:numPr>
          <w:ilvl w:val="0"/>
          <w:numId w:val="2"/>
        </w:numPr>
        <w:spacing w:after="60" w:line="260"/>
      </w:pPr>
      <w:r>
        <w:rPr>
          <w:rFonts w:ascii="Calibri" w:cs="Calibri" w:eastAsia="Calibri" w:hAnsi="Calibri"/>
          <w:sz w:val="20"/>
          <w:szCs w:val="20"/>
        </w:rPr>
        <w:t xml:space="preserve">Déclaration et paiement effectifs des cotisations sociales et fiscales.</w:t>
      </w:r>
    </w:p>
    <w:p>
      <w:pPr>
        <w:pStyle w:val="ListParagraph"/>
        <w:numPr>
          <w:ilvl w:val="0"/>
          <w:numId w:val="2"/>
        </w:numPr>
        <w:spacing w:after="60" w:line="260"/>
      </w:pPr>
      <w:r>
        <w:rPr>
          <w:rFonts w:ascii="Calibri" w:cs="Calibri" w:eastAsia="Calibri" w:hAnsi="Calibri"/>
          <w:sz w:val="20"/>
          <w:szCs w:val="20"/>
        </w:rPr>
        <w:t xml:space="preserve">Respect du droit du travail (rémunération, durée, congés, sécurité).</w:t>
      </w:r>
    </w:p>
    <w:p>
      <w:pPr>
        <w:spacing w:after="100" w:before="220"/>
      </w:pPr>
      <w:r>
        <w:rPr>
          <w:rFonts w:ascii="Calibri" w:cs="Calibri" w:eastAsia="Calibri" w:hAnsi="Calibri"/>
          <w:b/>
          <w:bCs/>
          <w:color w:val="E87722"/>
          <w:sz w:val="22"/>
          <w:szCs w:val="22"/>
        </w:rPr>
        <w:t xml:space="preserve">1.3. Conformité réglementaire tourisme</w:t>
      </w:r>
    </w:p>
    <w:p>
      <w:pPr>
        <w:pStyle w:val="ListParagraph"/>
        <w:numPr>
          <w:ilvl w:val="0"/>
          <w:numId w:val="2"/>
        </w:numPr>
        <w:spacing w:after="60" w:line="260"/>
      </w:pPr>
      <w:r>
        <w:rPr>
          <w:rFonts w:ascii="Calibri" w:cs="Calibri" w:eastAsia="Calibri" w:hAnsi="Calibri"/>
          <w:sz w:val="20"/>
          <w:szCs w:val="20"/>
        </w:rPr>
        <w:t xml:space="preserve">Reconnaissance d'EVENTY LIFE SAS comme l'opérateur de voyages exclusif au sens du Code du Tourisme — refus catégorique de toute qualité d'opérateur ou d'intermédiaire au sens de l'article L211-1.</w:t>
      </w:r>
    </w:p>
    <w:p>
      <w:pPr>
        <w:pStyle w:val="ListParagraph"/>
        <w:numPr>
          <w:ilvl w:val="0"/>
          <w:numId w:val="2"/>
        </w:numPr>
        <w:spacing w:after="60" w:line="260"/>
      </w:pPr>
      <w:r>
        <w:rPr>
          <w:rFonts w:ascii="Calibri" w:cs="Calibri" w:eastAsia="Calibri" w:hAnsi="Calibri"/>
          <w:sz w:val="20"/>
          <w:szCs w:val="20"/>
        </w:rPr>
        <w:t xml:space="preserve">Strict respect des informations communiquées au voyageur par EVENTY (programme, prix, prestations) — toute substitution requiert l'accord écrit préalable d'EVENTY.</w:t>
      </w:r>
    </w:p>
    <w:p>
      <w:pPr>
        <w:pStyle w:val="ListParagraph"/>
        <w:numPr>
          <w:ilvl w:val="0"/>
          <w:numId w:val="2"/>
        </w:numPr>
        <w:spacing w:after="60" w:line="260"/>
      </w:pPr>
      <w:r>
        <w:rPr>
          <w:rFonts w:ascii="Calibri" w:cs="Calibri" w:eastAsia="Calibri" w:hAnsi="Calibri"/>
          <w:sz w:val="20"/>
          <w:szCs w:val="20"/>
        </w:rPr>
        <w:t xml:space="preserve">Coopération en cas d'audit de l'APST, d'Atout France ou de la DGCCRF.</w:t>
      </w:r>
    </w:p>
    <w:p>
      <w:pPr>
        <w:spacing w:after="160" w:before="240"/>
      </w:pPr>
      <w:r>
        <w:rPr>
          <w:rFonts w:ascii="Calibri" w:cs="Calibri" w:eastAsia="Calibri" w:hAnsi="Calibri"/>
          <w:b/>
          <w:bCs/>
          <w:color w:val="1F4E79"/>
          <w:sz w:val="32"/>
          <w:szCs w:val="32"/>
        </w:rPr>
        <w:t xml:space="preserve">2. Engagement social</w:t>
      </w:r>
    </w:p>
    <w:p>
      <w:pPr>
        <w:spacing w:after="100" w:before="220"/>
      </w:pPr>
      <w:r>
        <w:rPr>
          <w:rFonts w:ascii="Calibri" w:cs="Calibri" w:eastAsia="Calibri" w:hAnsi="Calibri"/>
          <w:b/>
          <w:bCs/>
          <w:color w:val="E87722"/>
          <w:sz w:val="22"/>
          <w:szCs w:val="22"/>
        </w:rPr>
        <w:t xml:space="preserve">2.1. Respect des droits humains</w:t>
      </w:r>
    </w:p>
    <w:p>
      <w:pPr>
        <w:pStyle w:val="ListParagraph"/>
        <w:numPr>
          <w:ilvl w:val="0"/>
          <w:numId w:val="2"/>
        </w:numPr>
        <w:spacing w:after="60" w:line="260"/>
      </w:pPr>
      <w:r>
        <w:rPr>
          <w:rFonts w:ascii="Calibri" w:cs="Calibri" w:eastAsia="Calibri" w:hAnsi="Calibri"/>
          <w:sz w:val="20"/>
          <w:szCs w:val="20"/>
        </w:rPr>
        <w:t xml:space="preserve">Refus catégorique du travail des enfants et du travail forcé.</w:t>
      </w:r>
    </w:p>
    <w:p>
      <w:pPr>
        <w:pStyle w:val="ListParagraph"/>
        <w:numPr>
          <w:ilvl w:val="0"/>
          <w:numId w:val="2"/>
        </w:numPr>
        <w:spacing w:after="60" w:line="260"/>
      </w:pPr>
      <w:r>
        <w:rPr>
          <w:rFonts w:ascii="Calibri" w:cs="Calibri" w:eastAsia="Calibri" w:hAnsi="Calibri"/>
          <w:sz w:val="20"/>
          <w:szCs w:val="20"/>
        </w:rPr>
        <w:t xml:space="preserve">Respect strict de la liberté d'association et du droit syndical.</w:t>
      </w:r>
    </w:p>
    <w:p>
      <w:pPr>
        <w:pStyle w:val="ListParagraph"/>
        <w:numPr>
          <w:ilvl w:val="0"/>
          <w:numId w:val="2"/>
        </w:numPr>
        <w:spacing w:after="60" w:line="260"/>
      </w:pPr>
      <w:r>
        <w:rPr>
          <w:rFonts w:ascii="Calibri" w:cs="Calibri" w:eastAsia="Calibri" w:hAnsi="Calibri"/>
          <w:sz w:val="20"/>
          <w:szCs w:val="20"/>
        </w:rPr>
        <w:t xml:space="preserve">Politique anti-discrimination (origine, religion, orientation sexuelle, handicap, situation familiale, opinion politique).</w:t>
      </w:r>
    </w:p>
    <w:p>
      <w:pPr>
        <w:pStyle w:val="ListParagraph"/>
        <w:numPr>
          <w:ilvl w:val="0"/>
          <w:numId w:val="2"/>
        </w:numPr>
        <w:spacing w:after="60" w:line="260"/>
      </w:pPr>
      <w:r>
        <w:rPr>
          <w:rFonts w:ascii="Calibri" w:cs="Calibri" w:eastAsia="Calibri" w:hAnsi="Calibri"/>
          <w:sz w:val="20"/>
          <w:szCs w:val="20"/>
        </w:rPr>
        <w:t xml:space="preserve">Refus du harcèlement sous toutes ses formes (moral, sexuel).</w:t>
      </w:r>
    </w:p>
    <w:p>
      <w:pPr>
        <w:spacing w:after="100" w:before="220"/>
      </w:pPr>
      <w:r>
        <w:rPr>
          <w:rFonts w:ascii="Calibri" w:cs="Calibri" w:eastAsia="Calibri" w:hAnsi="Calibri"/>
          <w:b/>
          <w:bCs/>
          <w:color w:val="E87722"/>
          <w:sz w:val="22"/>
          <w:szCs w:val="22"/>
        </w:rPr>
        <w:t xml:space="preserve">2.2. Conditions de travail</w:t>
      </w:r>
    </w:p>
    <w:p>
      <w:pPr>
        <w:pStyle w:val="ListParagraph"/>
        <w:numPr>
          <w:ilvl w:val="0"/>
          <w:numId w:val="2"/>
        </w:numPr>
        <w:spacing w:after="60" w:line="260"/>
      </w:pPr>
      <w:r>
        <w:rPr>
          <w:rFonts w:ascii="Calibri" w:cs="Calibri" w:eastAsia="Calibri" w:hAnsi="Calibri"/>
          <w:sz w:val="20"/>
          <w:szCs w:val="20"/>
        </w:rPr>
        <w:t xml:space="preserve">Rémunération conforme aux minima légaux locaux et aux conventions collectives applicables.</w:t>
      </w:r>
    </w:p>
    <w:p>
      <w:pPr>
        <w:pStyle w:val="ListParagraph"/>
        <w:numPr>
          <w:ilvl w:val="0"/>
          <w:numId w:val="2"/>
        </w:numPr>
        <w:spacing w:after="60" w:line="260"/>
      </w:pPr>
      <w:r>
        <w:rPr>
          <w:rFonts w:ascii="Calibri" w:cs="Calibri" w:eastAsia="Calibri" w:hAnsi="Calibri"/>
          <w:sz w:val="20"/>
          <w:szCs w:val="20"/>
        </w:rPr>
        <w:t xml:space="preserve">Durée du travail conforme aux dispositions légales et conventionnelles.</w:t>
      </w:r>
    </w:p>
    <w:p>
      <w:pPr>
        <w:pStyle w:val="ListParagraph"/>
        <w:numPr>
          <w:ilvl w:val="0"/>
          <w:numId w:val="2"/>
        </w:numPr>
        <w:spacing w:after="60" w:line="260"/>
      </w:pPr>
      <w:r>
        <w:rPr>
          <w:rFonts w:ascii="Calibri" w:cs="Calibri" w:eastAsia="Calibri" w:hAnsi="Calibri"/>
          <w:sz w:val="20"/>
          <w:szCs w:val="20"/>
        </w:rPr>
        <w:t xml:space="preserve">Sécurité physique et psychologique des travailleurs (équipements, formation, prévention).</w:t>
      </w:r>
    </w:p>
    <w:p>
      <w:pPr>
        <w:pStyle w:val="ListParagraph"/>
        <w:numPr>
          <w:ilvl w:val="0"/>
          <w:numId w:val="2"/>
        </w:numPr>
        <w:spacing w:after="60" w:line="260"/>
      </w:pPr>
      <w:r>
        <w:rPr>
          <w:rFonts w:ascii="Calibri" w:cs="Calibri" w:eastAsia="Calibri" w:hAnsi="Calibri"/>
          <w:sz w:val="20"/>
          <w:szCs w:val="20"/>
        </w:rPr>
        <w:t xml:space="preserve">Couverture sociale (sécurité sociale, retraite, chômage le cas échéant).</w:t>
      </w:r>
    </w:p>
    <w:p>
      <w:pPr>
        <w:spacing w:after="100" w:before="220"/>
      </w:pPr>
      <w:r>
        <w:rPr>
          <w:rFonts w:ascii="Calibri" w:cs="Calibri" w:eastAsia="Calibri" w:hAnsi="Calibri"/>
          <w:b/>
          <w:bCs/>
          <w:color w:val="E87722"/>
          <w:sz w:val="22"/>
          <w:szCs w:val="22"/>
        </w:rPr>
        <w:t xml:space="preserve">2.3. Diversité et inclusion</w:t>
      </w:r>
    </w:p>
    <w:p>
      <w:pPr>
        <w:pStyle w:val="ListParagraph"/>
        <w:numPr>
          <w:ilvl w:val="0"/>
          <w:numId w:val="2"/>
        </w:numPr>
        <w:spacing w:after="60" w:line="260"/>
      </w:pPr>
      <w:r>
        <w:rPr>
          <w:rFonts w:ascii="Calibri" w:cs="Calibri" w:eastAsia="Calibri" w:hAnsi="Calibri"/>
          <w:sz w:val="20"/>
          <w:szCs w:val="20"/>
        </w:rPr>
        <w:t xml:space="preserve">Recrutement et promotion sans discrimination.</w:t>
      </w:r>
    </w:p>
    <w:p>
      <w:pPr>
        <w:pStyle w:val="ListParagraph"/>
        <w:numPr>
          <w:ilvl w:val="0"/>
          <w:numId w:val="2"/>
        </w:numPr>
        <w:spacing w:after="60" w:line="260"/>
      </w:pPr>
      <w:r>
        <w:rPr>
          <w:rFonts w:ascii="Calibri" w:cs="Calibri" w:eastAsia="Calibri" w:hAnsi="Calibri"/>
          <w:sz w:val="20"/>
          <w:szCs w:val="20"/>
        </w:rPr>
        <w:t xml:space="preserve">Accessibilité des établissements aux personnes à mobilité réduite (déclaration honnête de l'accessibilité réelle).</w:t>
      </w:r>
    </w:p>
    <w:p>
      <w:pPr>
        <w:pStyle w:val="ListParagraph"/>
        <w:numPr>
          <w:ilvl w:val="0"/>
          <w:numId w:val="2"/>
        </w:numPr>
        <w:spacing w:after="60" w:line="260"/>
      </w:pPr>
      <w:r>
        <w:rPr>
          <w:rFonts w:ascii="Calibri" w:cs="Calibri" w:eastAsia="Calibri" w:hAnsi="Calibri"/>
          <w:sz w:val="20"/>
          <w:szCs w:val="20"/>
        </w:rPr>
        <w:t xml:space="preserve">Formation continue des équipes.</w:t>
      </w:r>
    </w:p>
    <w:p>
      <w:pPr>
        <w:spacing w:after="160" w:before="240"/>
      </w:pPr>
      <w:r>
        <w:rPr>
          <w:rFonts w:ascii="Calibri" w:cs="Calibri" w:eastAsia="Calibri" w:hAnsi="Calibri"/>
          <w:b/>
          <w:bCs/>
          <w:color w:val="1F4E79"/>
          <w:sz w:val="32"/>
          <w:szCs w:val="32"/>
        </w:rPr>
        <w:t xml:space="preserve">3. Engagement environnemental</w:t>
      </w:r>
    </w:p>
    <w:p>
      <w:pPr>
        <w:spacing w:after="100" w:before="220"/>
      </w:pPr>
      <w:r>
        <w:rPr>
          <w:rFonts w:ascii="Calibri" w:cs="Calibri" w:eastAsia="Calibri" w:hAnsi="Calibri"/>
          <w:b/>
          <w:bCs/>
          <w:color w:val="E87722"/>
          <w:sz w:val="22"/>
          <w:szCs w:val="22"/>
        </w:rPr>
        <w:t xml:space="preserve">3.1. Hygiène et qualité</w:t>
      </w:r>
    </w:p>
    <w:p>
      <w:pPr>
        <w:pStyle w:val="ListParagraph"/>
        <w:numPr>
          <w:ilvl w:val="0"/>
          <w:numId w:val="2"/>
        </w:numPr>
        <w:spacing w:after="60" w:line="260"/>
      </w:pPr>
      <w:r>
        <w:rPr>
          <w:rFonts w:ascii="Calibri" w:cs="Calibri" w:eastAsia="Calibri" w:hAnsi="Calibri"/>
          <w:sz w:val="20"/>
          <w:szCs w:val="20"/>
        </w:rPr>
        <w:t xml:space="preserve">Conformité HACCP pour la restauration (traçabilité, températures, hygiène, allergènes).</w:t>
      </w:r>
    </w:p>
    <w:p>
      <w:pPr>
        <w:pStyle w:val="ListParagraph"/>
        <w:numPr>
          <w:ilvl w:val="0"/>
          <w:numId w:val="2"/>
        </w:numPr>
        <w:spacing w:after="60" w:line="260"/>
      </w:pPr>
      <w:r>
        <w:rPr>
          <w:rFonts w:ascii="Calibri" w:cs="Calibri" w:eastAsia="Calibri" w:hAnsi="Calibri"/>
          <w:sz w:val="20"/>
          <w:szCs w:val="20"/>
        </w:rPr>
        <w:t xml:space="preserve">Classement officiel à jour pour l'hôtellerie (étoiles, normes locales).</w:t>
      </w:r>
    </w:p>
    <w:p>
      <w:pPr>
        <w:pStyle w:val="ListParagraph"/>
        <w:numPr>
          <w:ilvl w:val="0"/>
          <w:numId w:val="2"/>
        </w:numPr>
        <w:spacing w:after="60" w:line="260"/>
      </w:pPr>
      <w:r>
        <w:rPr>
          <w:rFonts w:ascii="Calibri" w:cs="Calibri" w:eastAsia="Calibri" w:hAnsi="Calibri"/>
          <w:sz w:val="20"/>
          <w:szCs w:val="20"/>
        </w:rPr>
        <w:t xml:space="preserve">Maintenance régulière des équipements (chaudières, climatisation, ascenseurs, ventilation).</w:t>
      </w:r>
    </w:p>
    <w:p>
      <w:pPr>
        <w:pStyle w:val="ListParagraph"/>
        <w:numPr>
          <w:ilvl w:val="0"/>
          <w:numId w:val="2"/>
        </w:numPr>
        <w:spacing w:after="60" w:line="260"/>
      </w:pPr>
      <w:r>
        <w:rPr>
          <w:rFonts w:ascii="Calibri" w:cs="Calibri" w:eastAsia="Calibri" w:hAnsi="Calibri"/>
          <w:sz w:val="20"/>
          <w:szCs w:val="20"/>
        </w:rPr>
        <w:t xml:space="preserve">Gestion responsable des déchets (tri sélectif, recyclage, compostage si possible).</w:t>
      </w:r>
    </w:p>
    <w:p>
      <w:pPr>
        <w:spacing w:after="100" w:before="220"/>
      </w:pPr>
      <w:r>
        <w:rPr>
          <w:rFonts w:ascii="Calibri" w:cs="Calibri" w:eastAsia="Calibri" w:hAnsi="Calibri"/>
          <w:b/>
          <w:bCs/>
          <w:color w:val="E87722"/>
          <w:sz w:val="22"/>
          <w:szCs w:val="22"/>
        </w:rPr>
        <w:t xml:space="preserve">3.2. Sourcing responsable (recommandations)</w:t>
      </w:r>
    </w:p>
    <w:p>
      <w:pPr>
        <w:pStyle w:val="ListParagraph"/>
        <w:numPr>
          <w:ilvl w:val="0"/>
          <w:numId w:val="2"/>
        </w:numPr>
        <w:spacing w:after="60" w:line="260"/>
      </w:pPr>
      <w:r>
        <w:rPr>
          <w:rFonts w:ascii="Calibri" w:cs="Calibri" w:eastAsia="Calibri" w:hAnsi="Calibri"/>
          <w:sz w:val="20"/>
          <w:szCs w:val="20"/>
        </w:rPr>
        <w:t xml:space="preserve">Privilège donné aux produits frais et locaux (restauration).</w:t>
      </w:r>
    </w:p>
    <w:p>
      <w:pPr>
        <w:pStyle w:val="ListParagraph"/>
        <w:numPr>
          <w:ilvl w:val="0"/>
          <w:numId w:val="2"/>
        </w:numPr>
        <w:spacing w:after="60" w:line="260"/>
      </w:pPr>
      <w:r>
        <w:rPr>
          <w:rFonts w:ascii="Calibri" w:cs="Calibri" w:eastAsia="Calibri" w:hAnsi="Calibri"/>
          <w:sz w:val="20"/>
          <w:szCs w:val="20"/>
        </w:rPr>
        <w:t xml:space="preserve">Privilège donné aux producteurs régionaux et aux circuits courts.</w:t>
      </w:r>
    </w:p>
    <w:p>
      <w:pPr>
        <w:pStyle w:val="ListParagraph"/>
        <w:numPr>
          <w:ilvl w:val="0"/>
          <w:numId w:val="2"/>
        </w:numPr>
        <w:spacing w:after="60" w:line="260"/>
      </w:pPr>
      <w:r>
        <w:rPr>
          <w:rFonts w:ascii="Calibri" w:cs="Calibri" w:eastAsia="Calibri" w:hAnsi="Calibri"/>
          <w:sz w:val="20"/>
          <w:szCs w:val="20"/>
        </w:rPr>
        <w:t xml:space="preserve">Limitation du gaspillage alimentaire — adaptation des quantités au nombre exact de voyageurs.</w:t>
      </w:r>
    </w:p>
    <w:p>
      <w:pPr>
        <w:pStyle w:val="ListParagraph"/>
        <w:numPr>
          <w:ilvl w:val="0"/>
          <w:numId w:val="2"/>
        </w:numPr>
        <w:spacing w:after="60" w:line="260"/>
      </w:pPr>
      <w:r>
        <w:rPr>
          <w:rFonts w:ascii="Calibri" w:cs="Calibri" w:eastAsia="Calibri" w:hAnsi="Calibri"/>
          <w:sz w:val="20"/>
          <w:szCs w:val="20"/>
        </w:rPr>
        <w:t xml:space="preserve">Limitation des emballages individuels superflus.</w:t>
      </w:r>
    </w:p>
    <w:p>
      <w:pPr>
        <w:pStyle w:val="ListParagraph"/>
        <w:numPr>
          <w:ilvl w:val="0"/>
          <w:numId w:val="2"/>
        </w:numPr>
        <w:spacing w:after="60" w:line="260"/>
      </w:pPr>
      <w:r>
        <w:rPr>
          <w:rFonts w:ascii="Calibri" w:cs="Calibri" w:eastAsia="Calibri" w:hAnsi="Calibri"/>
          <w:sz w:val="20"/>
          <w:szCs w:val="20"/>
        </w:rPr>
        <w:t xml:space="preserve">Refus des produits à empreinte carbone manifestement excessive (espèces protégées, produits hors saison transportés par avion).</w:t>
      </w:r>
    </w:p>
    <w:p>
      <w:pPr>
        <w:spacing w:after="100" w:before="220"/>
      </w:pPr>
      <w:r>
        <w:rPr>
          <w:rFonts w:ascii="Calibri" w:cs="Calibri" w:eastAsia="Calibri" w:hAnsi="Calibri"/>
          <w:b/>
          <w:bCs/>
          <w:color w:val="E87722"/>
          <w:sz w:val="22"/>
          <w:szCs w:val="22"/>
        </w:rPr>
        <w:t xml:space="preserve">3.3. Énergie et eau</w:t>
      </w:r>
    </w:p>
    <w:p>
      <w:pPr>
        <w:pStyle w:val="ListParagraph"/>
        <w:numPr>
          <w:ilvl w:val="0"/>
          <w:numId w:val="2"/>
        </w:numPr>
        <w:spacing w:after="60" w:line="260"/>
      </w:pPr>
      <w:r>
        <w:rPr>
          <w:rFonts w:ascii="Calibri" w:cs="Calibri" w:eastAsia="Calibri" w:hAnsi="Calibri"/>
          <w:sz w:val="20"/>
          <w:szCs w:val="20"/>
        </w:rPr>
        <w:t xml:space="preserve">Pratiques d'économie d'énergie raisonnables (éclairage, chauffage, climatisation).</w:t>
      </w:r>
    </w:p>
    <w:p>
      <w:pPr>
        <w:pStyle w:val="ListParagraph"/>
        <w:numPr>
          <w:ilvl w:val="0"/>
          <w:numId w:val="2"/>
        </w:numPr>
        <w:spacing w:after="60" w:line="260"/>
      </w:pPr>
      <w:r>
        <w:rPr>
          <w:rFonts w:ascii="Calibri" w:cs="Calibri" w:eastAsia="Calibri" w:hAnsi="Calibri"/>
          <w:sz w:val="20"/>
          <w:szCs w:val="20"/>
        </w:rPr>
        <w:t xml:space="preserve">Utilisation préférentielle d'énergies renouvelables si disponibles.</w:t>
      </w:r>
    </w:p>
    <w:p>
      <w:pPr>
        <w:pStyle w:val="ListParagraph"/>
        <w:numPr>
          <w:ilvl w:val="0"/>
          <w:numId w:val="2"/>
        </w:numPr>
        <w:spacing w:after="60" w:line="260"/>
      </w:pPr>
      <w:r>
        <w:rPr>
          <w:rFonts w:ascii="Calibri" w:cs="Calibri" w:eastAsia="Calibri" w:hAnsi="Calibri"/>
          <w:sz w:val="20"/>
          <w:szCs w:val="20"/>
        </w:rPr>
        <w:t xml:space="preserve">Gestion responsable de la consommation d'eau (équipements à débit limité, limitation du gaspillage).</w:t>
      </w:r>
    </w:p>
    <w:p>
      <w:pPr>
        <w:spacing w:after="160" w:before="240"/>
      </w:pPr>
      <w:r>
        <w:rPr>
          <w:rFonts w:ascii="Calibri" w:cs="Calibri" w:eastAsia="Calibri" w:hAnsi="Calibri"/>
          <w:b/>
          <w:bCs/>
          <w:color w:val="1F4E79"/>
          <w:sz w:val="32"/>
          <w:szCs w:val="32"/>
        </w:rPr>
        <w:t xml:space="preserve">4. Engagement opérationnel</w:t>
      </w:r>
    </w:p>
    <w:p>
      <w:pPr>
        <w:spacing w:after="100" w:before="220"/>
      </w:pPr>
      <w:r>
        <w:rPr>
          <w:rFonts w:ascii="Calibri" w:cs="Calibri" w:eastAsia="Calibri" w:hAnsi="Calibri"/>
          <w:b/>
          <w:bCs/>
          <w:color w:val="E87722"/>
          <w:sz w:val="22"/>
          <w:szCs w:val="22"/>
        </w:rPr>
        <w:t xml:space="preserve">4.1. Capacité d'accueil</w:t>
      </w:r>
    </w:p>
    <w:p>
      <w:pPr>
        <w:pStyle w:val="ListParagraph"/>
        <w:numPr>
          <w:ilvl w:val="0"/>
          <w:numId w:val="2"/>
        </w:numPr>
        <w:spacing w:after="60" w:line="260"/>
      </w:pPr>
      <w:r>
        <w:rPr>
          <w:rFonts w:ascii="Calibri" w:cs="Calibri" w:eastAsia="Calibri" w:hAnsi="Calibri"/>
          <w:sz w:val="20"/>
          <w:szCs w:val="20"/>
        </w:rPr>
        <w:t xml:space="preserve">Capacité minimum d'accueil simultané : 38 voyageurs sur la prestation concernée (sauf accord spécifique pour prestations partielles).</w:t>
      </w:r>
    </w:p>
    <w:p>
      <w:pPr>
        <w:pStyle w:val="ListParagraph"/>
        <w:numPr>
          <w:ilvl w:val="0"/>
          <w:numId w:val="2"/>
        </w:numPr>
        <w:spacing w:after="60" w:line="260"/>
      </w:pPr>
      <w:r>
        <w:rPr>
          <w:rFonts w:ascii="Calibri" w:cs="Calibri" w:eastAsia="Calibri" w:hAnsi="Calibri"/>
          <w:sz w:val="20"/>
          <w:szCs w:val="20"/>
        </w:rPr>
        <w:t xml:space="preserve">Disponibilité confirmée pour chaque bon de commande dans le délai contractuel (48 heures).</w:t>
      </w:r>
    </w:p>
    <w:p>
      <w:pPr>
        <w:pStyle w:val="ListParagraph"/>
        <w:numPr>
          <w:ilvl w:val="0"/>
          <w:numId w:val="2"/>
        </w:numPr>
        <w:spacing w:after="60" w:line="260"/>
      </w:pPr>
      <w:r>
        <w:rPr>
          <w:rFonts w:ascii="Calibri" w:cs="Calibri" w:eastAsia="Calibri" w:hAnsi="Calibri"/>
          <w:sz w:val="20"/>
          <w:szCs w:val="20"/>
        </w:rPr>
        <w:t xml:space="preserve">Maintien de la capacité d'accueil tout au long de la durée du contrat-cadre.</w:t>
      </w:r>
    </w:p>
    <w:p>
      <w:pPr>
        <w:spacing w:after="100" w:before="220"/>
      </w:pPr>
      <w:r>
        <w:rPr>
          <w:rFonts w:ascii="Calibri" w:cs="Calibri" w:eastAsia="Calibri" w:hAnsi="Calibri"/>
          <w:b/>
          <w:bCs/>
          <w:color w:val="E87722"/>
          <w:sz w:val="22"/>
          <w:szCs w:val="22"/>
        </w:rPr>
        <w:t xml:space="preserve">4.2. Qualité de service</w:t>
      </w:r>
    </w:p>
    <w:p>
      <w:pPr>
        <w:pStyle w:val="ListParagraph"/>
        <w:numPr>
          <w:ilvl w:val="0"/>
          <w:numId w:val="2"/>
        </w:numPr>
        <w:spacing w:after="60" w:line="260"/>
      </w:pPr>
      <w:r>
        <w:rPr>
          <w:rFonts w:ascii="Calibri" w:cs="Calibri" w:eastAsia="Calibri" w:hAnsi="Calibri"/>
          <w:sz w:val="20"/>
          <w:szCs w:val="20"/>
        </w:rPr>
        <w:t xml:space="preserve">Respect strict du programme communiqué au voyageur (timing repas, gestion arrivées/départs, qualité prestations).</w:t>
      </w:r>
    </w:p>
    <w:p>
      <w:pPr>
        <w:pStyle w:val="ListParagraph"/>
        <w:numPr>
          <w:ilvl w:val="0"/>
          <w:numId w:val="2"/>
        </w:numPr>
        <w:spacing w:after="60" w:line="260"/>
      </w:pPr>
      <w:r>
        <w:rPr>
          <w:rFonts w:ascii="Calibri" w:cs="Calibri" w:eastAsia="Calibri" w:hAnsi="Calibri"/>
          <w:sz w:val="20"/>
          <w:szCs w:val="20"/>
        </w:rPr>
        <w:t xml:space="preserve">Communication sans délai de tout incident affectant l'exécution de la prestation.</w:t>
      </w:r>
    </w:p>
    <w:p>
      <w:pPr>
        <w:pStyle w:val="ListParagraph"/>
        <w:numPr>
          <w:ilvl w:val="0"/>
          <w:numId w:val="2"/>
        </w:numPr>
        <w:spacing w:after="60" w:line="260"/>
      </w:pPr>
      <w:r>
        <w:rPr>
          <w:rFonts w:ascii="Calibri" w:cs="Calibri" w:eastAsia="Calibri" w:hAnsi="Calibri"/>
          <w:sz w:val="20"/>
          <w:szCs w:val="20"/>
        </w:rPr>
        <w:t xml:space="preserve">Documentation complète des allergènes et restrictions alimentaires (restauration).</w:t>
      </w:r>
    </w:p>
    <w:p>
      <w:pPr>
        <w:pStyle w:val="ListParagraph"/>
        <w:numPr>
          <w:ilvl w:val="0"/>
          <w:numId w:val="2"/>
        </w:numPr>
        <w:spacing w:after="60" w:line="260"/>
      </w:pPr>
      <w:r>
        <w:rPr>
          <w:rFonts w:ascii="Calibri" w:cs="Calibri" w:eastAsia="Calibri" w:hAnsi="Calibri"/>
          <w:sz w:val="20"/>
          <w:szCs w:val="20"/>
        </w:rPr>
        <w:t xml:space="preserve">Accueil chaleureux et professionnel des voyageurs Eventy.</w:t>
      </w:r>
    </w:p>
    <w:p>
      <w:pPr>
        <w:spacing w:after="100" w:before="220"/>
      </w:pPr>
      <w:r>
        <w:rPr>
          <w:rFonts w:ascii="Calibri" w:cs="Calibri" w:eastAsia="Calibri" w:hAnsi="Calibri"/>
          <w:b/>
          <w:bCs/>
          <w:color w:val="E87722"/>
          <w:sz w:val="22"/>
          <w:szCs w:val="22"/>
        </w:rPr>
        <w:t xml:space="preserve">4.3. Confidentialité</w:t>
      </w:r>
    </w:p>
    <w:p>
      <w:pPr>
        <w:pStyle w:val="ListParagraph"/>
        <w:numPr>
          <w:ilvl w:val="0"/>
          <w:numId w:val="2"/>
        </w:numPr>
        <w:spacing w:after="60" w:line="260"/>
      </w:pPr>
      <w:r>
        <w:rPr>
          <w:rFonts w:ascii="Calibri" w:cs="Calibri" w:eastAsia="Calibri" w:hAnsi="Calibri"/>
          <w:sz w:val="20"/>
          <w:szCs w:val="20"/>
        </w:rPr>
        <w:t xml:space="preserve">Respect strict de la confidentialité des données personnelles des voyageurs (RGPD, accord article 28).</w:t>
      </w:r>
    </w:p>
    <w:p>
      <w:pPr>
        <w:pStyle w:val="ListParagraph"/>
        <w:numPr>
          <w:ilvl w:val="0"/>
          <w:numId w:val="2"/>
        </w:numPr>
        <w:spacing w:after="60" w:line="260"/>
      </w:pPr>
      <w:r>
        <w:rPr>
          <w:rFonts w:ascii="Calibri" w:cs="Calibri" w:eastAsia="Calibri" w:hAnsi="Calibri"/>
          <w:sz w:val="20"/>
          <w:szCs w:val="20"/>
        </w:rPr>
        <w:t xml:space="preserve">Pas de divulgation à des tiers (concurrents Eventy, médias) des informations contractuelles.</w:t>
      </w:r>
    </w:p>
    <w:p>
      <w:pPr>
        <w:pStyle w:val="ListParagraph"/>
        <w:numPr>
          <w:ilvl w:val="0"/>
          <w:numId w:val="2"/>
        </w:numPr>
        <w:spacing w:after="60" w:line="260"/>
      </w:pPr>
      <w:r>
        <w:rPr>
          <w:rFonts w:ascii="Calibri" w:cs="Calibri" w:eastAsia="Calibri" w:hAnsi="Calibri"/>
          <w:sz w:val="20"/>
          <w:szCs w:val="20"/>
        </w:rPr>
        <w:t xml:space="preserve">Conservation et destruction des listes voyageurs selon protocole Eventy.</w:t>
      </w:r>
    </w:p>
    <w:p>
      <w:pPr>
        <w:spacing w:after="160" w:before="240"/>
      </w:pPr>
      <w:r>
        <w:rPr>
          <w:rFonts w:ascii="Calibri" w:cs="Calibri" w:eastAsia="Calibri" w:hAnsi="Calibri"/>
          <w:b/>
          <w:bCs/>
          <w:color w:val="1F4E79"/>
          <w:sz w:val="32"/>
          <w:szCs w:val="32"/>
        </w:rPr>
        <w:t xml:space="preserve">5. Modalités de mise en œuvre et contrôle</w:t>
      </w:r>
    </w:p>
    <w:p>
      <w:pPr>
        <w:spacing w:after="100" w:before="220"/>
      </w:pPr>
      <w:r>
        <w:rPr>
          <w:rFonts w:ascii="Calibri" w:cs="Calibri" w:eastAsia="Calibri" w:hAnsi="Calibri"/>
          <w:b/>
          <w:bCs/>
          <w:color w:val="E87722"/>
          <w:sz w:val="22"/>
          <w:szCs w:val="22"/>
        </w:rPr>
        <w:t xml:space="preserve">5.1. Audit qualité initial et récurrent</w:t>
      </w:r>
    </w:p>
    <w:p>
      <w:pPr>
        <w:pStyle w:val="ListParagraph"/>
        <w:numPr>
          <w:ilvl w:val="0"/>
          <w:numId w:val="2"/>
        </w:numPr>
        <w:spacing w:after="60" w:line="260"/>
      </w:pPr>
      <w:r>
        <w:rPr>
          <w:rFonts w:ascii="Calibri" w:cs="Calibri" w:eastAsia="Calibri" w:hAnsi="Calibri"/>
          <w:sz w:val="20"/>
          <w:szCs w:val="20"/>
        </w:rPr>
        <w:t xml:space="preserve">Audit qualité initial sur place avant le premier référencement (voir Procédure d'audit qualité HRA détaillée).</w:t>
      </w:r>
    </w:p>
    <w:p>
      <w:pPr>
        <w:pStyle w:val="ListParagraph"/>
        <w:numPr>
          <w:ilvl w:val="0"/>
          <w:numId w:val="2"/>
        </w:numPr>
        <w:spacing w:after="60" w:line="260"/>
      </w:pPr>
      <w:r>
        <w:rPr>
          <w:rFonts w:ascii="Calibri" w:cs="Calibri" w:eastAsia="Calibri" w:hAnsi="Calibri"/>
          <w:sz w:val="20"/>
          <w:szCs w:val="20"/>
        </w:rPr>
        <w:t xml:space="preserve">Audit récurrent annuel — sur place ou documentaire selon volume d'activité.</w:t>
      </w:r>
    </w:p>
    <w:p>
      <w:pPr>
        <w:pStyle w:val="ListParagraph"/>
        <w:numPr>
          <w:ilvl w:val="0"/>
          <w:numId w:val="2"/>
        </w:numPr>
        <w:spacing w:after="60" w:line="260"/>
      </w:pPr>
      <w:r>
        <w:rPr>
          <w:rFonts w:ascii="Calibri" w:cs="Calibri" w:eastAsia="Calibri" w:hAnsi="Calibri"/>
          <w:sz w:val="20"/>
          <w:szCs w:val="20"/>
        </w:rPr>
        <w:t xml:space="preserve">Audits inopinés possibles à tout moment (voyageurs-mystères, visites Responsable opérations Eventy).</w:t>
      </w:r>
    </w:p>
    <w:p>
      <w:pPr>
        <w:spacing w:after="100" w:before="220"/>
      </w:pPr>
      <w:r>
        <w:rPr>
          <w:rFonts w:ascii="Calibri" w:cs="Calibri" w:eastAsia="Calibri" w:hAnsi="Calibri"/>
          <w:b/>
          <w:bCs/>
          <w:color w:val="E87722"/>
          <w:sz w:val="22"/>
          <w:szCs w:val="22"/>
        </w:rPr>
        <w:t xml:space="preserve">5.2. Conséquences d'un manquement</w:t>
      </w:r>
    </w:p>
    <w:p>
      <w:pPr>
        <w:pStyle w:val="ListParagraph"/>
        <w:numPr>
          <w:ilvl w:val="0"/>
          <w:numId w:val="2"/>
        </w:numPr>
        <w:spacing w:after="60" w:line="260"/>
      </w:pPr>
      <w:r>
        <w:rPr>
          <w:rFonts w:ascii="Calibri" w:cs="Calibri" w:eastAsia="Calibri" w:hAnsi="Calibri"/>
          <w:sz w:val="20"/>
          <w:szCs w:val="20"/>
        </w:rPr>
        <w:t xml:space="preserve">Manquement mineur : avertissement écrit et plan de correction sous 30 jours.</w:t>
      </w:r>
    </w:p>
    <w:p>
      <w:pPr>
        <w:pStyle w:val="ListParagraph"/>
        <w:numPr>
          <w:ilvl w:val="0"/>
          <w:numId w:val="2"/>
        </w:numPr>
        <w:spacing w:after="60" w:line="260"/>
      </w:pPr>
      <w:r>
        <w:rPr>
          <w:rFonts w:ascii="Calibri" w:cs="Calibri" w:eastAsia="Calibri" w:hAnsi="Calibri"/>
          <w:sz w:val="20"/>
          <w:szCs w:val="20"/>
        </w:rPr>
        <w:t xml:space="preserve">Manquement avéré : mise en demeure de se conformer sous 15 jours, sous peine de déréférencement temporaire.</w:t>
      </w:r>
    </w:p>
    <w:p>
      <w:pPr>
        <w:pStyle w:val="ListParagraph"/>
        <w:numPr>
          <w:ilvl w:val="0"/>
          <w:numId w:val="2"/>
        </w:numPr>
        <w:spacing w:after="60" w:line="260"/>
      </w:pPr>
      <w:r>
        <w:rPr>
          <w:rFonts w:ascii="Calibri" w:cs="Calibri" w:eastAsia="Calibri" w:hAnsi="Calibri"/>
          <w:sz w:val="20"/>
          <w:szCs w:val="20"/>
        </w:rPr>
        <w:t xml:space="preserve">Manquement grave : déréférencement définitif et action en dommages-intérêts si préjudice voyageur.</w:t>
      </w:r>
    </w:p>
    <w:p>
      <w:pPr>
        <w:pStyle w:val="ListParagraph"/>
        <w:numPr>
          <w:ilvl w:val="0"/>
          <w:numId w:val="2"/>
        </w:numPr>
        <w:spacing w:after="60" w:line="260"/>
      </w:pPr>
      <w:r>
        <w:rPr>
          <w:rFonts w:ascii="Calibri" w:cs="Calibri" w:eastAsia="Calibri" w:hAnsi="Calibri"/>
          <w:sz w:val="20"/>
          <w:szCs w:val="20"/>
        </w:rPr>
        <w:t xml:space="preserve">Manquement éthique caractérisé (corruption, travail des enfants, discrimination) : déréférencement immédiat sans préavis.</w:t>
      </w:r>
    </w:p>
    <w:p>
      <w:pPr>
        <w:spacing w:after="100" w:before="220"/>
      </w:pPr>
      <w:r>
        <w:rPr>
          <w:rFonts w:ascii="Calibri" w:cs="Calibri" w:eastAsia="Calibri" w:hAnsi="Calibri"/>
          <w:b/>
          <w:bCs/>
          <w:color w:val="E87722"/>
          <w:sz w:val="22"/>
          <w:szCs w:val="22"/>
        </w:rPr>
        <w:t xml:space="preserve">5.3. Engagement de progrès</w:t>
      </w:r>
    </w:p>
    <w:p>
      <w:pPr>
        <w:pStyle w:val="ListParagraph"/>
        <w:numPr>
          <w:ilvl w:val="0"/>
          <w:numId w:val="2"/>
        </w:numPr>
        <w:spacing w:after="60" w:line="260"/>
      </w:pPr>
      <w:r>
        <w:rPr>
          <w:rFonts w:ascii="Calibri" w:cs="Calibri" w:eastAsia="Calibri" w:hAnsi="Calibri"/>
          <w:sz w:val="20"/>
          <w:szCs w:val="20"/>
        </w:rPr>
        <w:t xml:space="preserve">Le Partenaire HRA s'engage à progresser annuellement sur les indicateurs RSE de la présente charte.</w:t>
      </w:r>
    </w:p>
    <w:p>
      <w:pPr>
        <w:pStyle w:val="ListParagraph"/>
        <w:numPr>
          <w:ilvl w:val="0"/>
          <w:numId w:val="2"/>
        </w:numPr>
        <w:spacing w:after="60" w:line="260"/>
      </w:pPr>
      <w:r>
        <w:rPr>
          <w:rFonts w:ascii="Calibri" w:cs="Calibri" w:eastAsia="Calibri" w:hAnsi="Calibri"/>
          <w:sz w:val="20"/>
          <w:szCs w:val="20"/>
        </w:rPr>
        <w:t xml:space="preserve">Bilan annuel partagé entre Eventy et le Partenaire — identification des axes de progrès.</w:t>
      </w:r>
    </w:p>
    <w:p>
      <w:pPr>
        <w:pStyle w:val="ListParagraph"/>
        <w:numPr>
          <w:ilvl w:val="0"/>
          <w:numId w:val="2"/>
        </w:numPr>
        <w:spacing w:after="60" w:line="260"/>
      </w:pPr>
      <w:r>
        <w:rPr>
          <w:rFonts w:ascii="Calibri" w:cs="Calibri" w:eastAsia="Calibri" w:hAnsi="Calibri"/>
          <w:sz w:val="20"/>
          <w:szCs w:val="20"/>
        </w:rPr>
        <w:t xml:space="preserve">Partage de bonnes pratiques entre partenaires (groupe de travail Eventy annuel).</w:t>
      </w:r>
    </w:p>
    <w:p>
      <w:pPr>
        <w:spacing w:after="160" w:before="240"/>
      </w:pPr>
      <w:r>
        <w:rPr>
          <w:rFonts w:ascii="Calibri" w:cs="Calibri" w:eastAsia="Calibri" w:hAnsi="Calibri"/>
          <w:b/>
          <w:bCs/>
          <w:color w:val="1F4E79"/>
          <w:sz w:val="32"/>
          <w:szCs w:val="32"/>
        </w:rPr>
        <w:t xml:space="preserve">6. Acceptation</w:t>
      </w:r>
    </w:p>
    <w:p>
      <w:pPr>
        <w:spacing w:after="100" w:line="280"/>
        <w:jc w:val="both"/>
      </w:pPr>
      <w:r>
        <w:rPr>
          <w:rFonts w:ascii="Calibri" w:cs="Calibri" w:eastAsia="Calibri" w:hAnsi="Calibri"/>
          <w:i/>
          <w:iCs/>
          <w:color w:val="1A1A1A"/>
          <w:sz w:val="20"/>
          <w:szCs w:val="20"/>
        </w:rPr>
        <w:t xml:space="preserve">Je soussigné(e), [Nom Prénom + qualité du représentant légal du Partenaire HRA], reconnais avoir pris connaissance de la présente Charte fournisseurs Eventy Life. J'en accepte sans réserve l'ensemble des stipulations et m'engage, au nom de [Raison sociale du Partenaire], à les appliquer scrupuleusement dans le cadre de notre relation contractuelle avec Eventy Life SAS.</w:t>
      </w:r>
    </w:p>
    <w:p>
      <w:pPr>
        <w:spacing w:after="160"/>
      </w:pPr>
      <w:r>
        <w:t xml:space="preserve"/>
      </w:r>
    </w:p>
    <w:p>
      <w:pPr>
        <w:spacing w:after="200" w:line="280"/>
        <w:jc w:val="both"/>
      </w:pPr>
      <w:r>
        <w:rPr>
          <w:rFonts w:ascii="Calibri" w:cs="Calibri" w:eastAsia="Calibri" w:hAnsi="Calibri"/>
          <w:i/>
          <w:iCs/>
          <w:color w:val="1A1A1A"/>
          <w:sz w:val="20"/>
          <w:szCs w:val="20"/>
        </w:rPr>
        <w:t xml:space="preserve">Fait à [Ville], le [Date], en deux exemplaires originaux.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36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 + cachet)</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le PARTENAIRE</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 cachet + mention « Lu et approuvé »)</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Contrat-cadre HRA Partenaire · Politique RSE Eventy · Procédure d'audit qualité HRA détaillée.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Charte fournisseurs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Charte fournisseurs</dc:title>
  <dc:creator>David Eventy — Eventy Life SAS</dc:creator>
  <dc:description>Code de conduite des partenaires HRA, transporteurs et prestataires terrain.</dc:description>
  <cp:lastModifiedBy>Un-named</cp:lastModifiedBy>
  <cp:revision>1</cp:revision>
  <dcterms:created xsi:type="dcterms:W3CDTF">2026-04-30T09:23:34.006Z</dcterms:created>
  <dcterms:modified xsi:type="dcterms:W3CDTF">2026-04-30T09:23:34.008Z</dcterms:modified>
</cp:coreProperties>
</file>

<file path=docProps/custom.xml><?xml version="1.0" encoding="utf-8"?>
<Properties xmlns="http://schemas.openxmlformats.org/officeDocument/2006/custom-properties" xmlns:vt="http://schemas.openxmlformats.org/officeDocument/2006/docPropsVTypes"/>
</file>