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18"/>
              <w:left w:val="single" w:color="E87722" w:sz="18"/>
              <w:bottom w:val="single" w:color="E87722" w:sz="18"/>
              <w:right w:val="single" w:color="E87722" w:sz="18"/>
            </w:tcBorders>
            <w:shd w:fill="FFF8EE" w:val="clear"/>
            <w:tcMar>
              <w:top w:type="dxa" w:w="200"/>
              <w:left w:type="dxa" w:w="240"/>
              <w:bottom w:type="dxa" w:w="200"/>
              <w:right w:type="dxa" w:w="240"/>
            </w:tcMar>
          </w:tcPr>
          <w:p>
            <w:pPr>
              <w:spacing w:after="60"/>
              <w:jc w:val="center"/>
            </w:pPr>
            <w:r>
              <w:rPr>
                <w:rFonts w:ascii="Calibri" w:cs="Calibri" w:eastAsia="Calibri" w:hAnsi="Calibri"/>
                <w:b/>
                <w:bCs/>
                <w:color w:val="E87722"/>
                <w:sz w:val="28"/>
                <w:szCs w:val="28"/>
              </w:rPr>
              <w:t xml:space="preserve">PROCÉDURE D'AUDIT QUALITÉ HRA</w:t>
            </w:r>
          </w:p>
          <w:p>
            <w:pPr>
              <w:spacing w:after="0"/>
              <w:jc w:val="center"/>
            </w:pPr>
            <w:r>
              <w:rPr>
                <w:rFonts w:ascii="Calibri" w:cs="Calibri" w:eastAsia="Calibri" w:hAnsi="Calibri"/>
                <w:i/>
                <w:iCs/>
                <w:color w:val="1F4E79"/>
                <w:sz w:val="18"/>
                <w:szCs w:val="18"/>
              </w:rPr>
              <w:t xml:space="preserve">Audit initial avant référencement + audits récurrents annuels</w:t>
            </w:r>
          </w:p>
        </w:tc>
      </w:tr>
    </w:tbl>
    <w:p>
      <w:pPr>
        <w:spacing w:after="160"/>
      </w:pPr>
      <w:r>
        <w:t xml:space="preserve"/>
      </w:r>
    </w:p>
    <w:p>
      <w:pPr>
        <w:spacing w:after="100" w:line="280"/>
        <w:jc w:val="both"/>
      </w:pPr>
      <w:r>
        <w:rPr>
          <w:rFonts w:ascii="Calibri" w:cs="Calibri" w:eastAsia="Calibri" w:hAnsi="Calibri"/>
          <w:i/>
          <w:iCs/>
          <w:color w:val="1A1A1A"/>
          <w:sz w:val="20"/>
          <w:szCs w:val="20"/>
        </w:rPr>
        <w:t xml:space="preserve">La présente procédure formalise le processus d'audit qualité des partenaires HRA d'Eventy Life. Elle distingue l'audit initial préalable au référencement et l'audit récurrent annuel. Elle est appliquée par le Responsable opérations Eventy ou par un auditeur tiers mandaté.</w:t>
      </w:r>
    </w:p>
    <w:p>
      <w:pPr>
        <w:spacing w:after="100" w:line="280"/>
        <w:jc w:val="both"/>
      </w:pPr>
      <w:r>
        <w:rPr>
          <w:rFonts w:ascii="Calibri" w:cs="Calibri" w:eastAsia="Calibri" w:hAnsi="Calibri"/>
          <w:i/>
          <w:iCs/>
          <w:color w:val="1A1A1A"/>
          <w:sz w:val="20"/>
          <w:szCs w:val="20"/>
        </w:rPr>
        <w:t xml:space="preserve">L'objectif est de garantir le respect permanent des standards Eventy par les partenaires hôteliers, restaurateurs et activités, dans l'intérêt des voyageurs et de la marque.</w:t>
      </w:r>
    </w:p>
    <w:p>
      <w:pPr>
        <w:spacing w:after="160" w:before="240"/>
      </w:pPr>
      <w:r>
        <w:rPr>
          <w:rFonts w:ascii="Calibri" w:cs="Calibri" w:eastAsia="Calibri" w:hAnsi="Calibri"/>
          <w:b/>
          <w:bCs/>
          <w:color w:val="1F4E79"/>
          <w:sz w:val="32"/>
          <w:szCs w:val="32"/>
        </w:rPr>
        <w:t xml:space="preserve">1. Champ d'application</w:t>
      </w:r>
    </w:p>
    <w:p>
      <w:pPr>
        <w:pStyle w:val="ListParagraph"/>
        <w:numPr>
          <w:ilvl w:val="0"/>
          <w:numId w:val="2"/>
        </w:numPr>
        <w:spacing w:after="60" w:line="260"/>
      </w:pPr>
      <w:r>
        <w:rPr>
          <w:rFonts w:ascii="Calibri" w:cs="Calibri" w:eastAsia="Calibri" w:hAnsi="Calibri"/>
          <w:sz w:val="20"/>
          <w:szCs w:val="20"/>
        </w:rPr>
        <w:t xml:space="preserve">Hôteliers : audit complet (chambres, espaces communs, restauration éventuelle, sécurité).</w:t>
      </w:r>
    </w:p>
    <w:p>
      <w:pPr>
        <w:pStyle w:val="ListParagraph"/>
        <w:numPr>
          <w:ilvl w:val="0"/>
          <w:numId w:val="2"/>
        </w:numPr>
        <w:spacing w:after="60" w:line="260"/>
      </w:pPr>
      <w:r>
        <w:rPr>
          <w:rFonts w:ascii="Calibri" w:cs="Calibri" w:eastAsia="Calibri" w:hAnsi="Calibri"/>
          <w:sz w:val="20"/>
          <w:szCs w:val="20"/>
        </w:rPr>
        <w:t xml:space="preserve">Restaurateurs : audit centré hygiène, capacité, qualité culinaire.</w:t>
      </w:r>
    </w:p>
    <w:p>
      <w:pPr>
        <w:pStyle w:val="ListParagraph"/>
        <w:numPr>
          <w:ilvl w:val="0"/>
          <w:numId w:val="2"/>
        </w:numPr>
        <w:spacing w:after="60" w:line="260"/>
      </w:pPr>
      <w:r>
        <w:rPr>
          <w:rFonts w:ascii="Calibri" w:cs="Calibri" w:eastAsia="Calibri" w:hAnsi="Calibri"/>
          <w:sz w:val="20"/>
          <w:szCs w:val="20"/>
        </w:rPr>
        <w:t xml:space="preserve">Activités touristiques : audit centré sécurité, conformité réglementaire, qualité du service.</w:t>
      </w:r>
    </w:p>
    <w:p>
      <w:pPr>
        <w:pStyle w:val="ListParagraph"/>
        <w:numPr>
          <w:ilvl w:val="0"/>
          <w:numId w:val="2"/>
        </w:numPr>
        <w:spacing w:after="60" w:line="260"/>
      </w:pPr>
      <w:r>
        <w:rPr>
          <w:rFonts w:ascii="Calibri" w:cs="Calibri" w:eastAsia="Calibri" w:hAnsi="Calibri"/>
          <w:sz w:val="20"/>
          <w:szCs w:val="20"/>
        </w:rPr>
        <w:t xml:space="preserve">Tous les partenaires HRA référencés ou en cours de référencement.</w:t>
      </w:r>
    </w:p>
    <w:p>
      <w:pPr>
        <w:spacing w:after="160" w:before="240"/>
      </w:pPr>
      <w:r>
        <w:rPr>
          <w:rFonts w:ascii="Calibri" w:cs="Calibri" w:eastAsia="Calibri" w:hAnsi="Calibri"/>
          <w:b/>
          <w:bCs/>
          <w:color w:val="1F4E79"/>
          <w:sz w:val="32"/>
          <w:szCs w:val="32"/>
        </w:rPr>
        <w:t xml:space="preserve">2. Audit initial — préalable au référencement</w:t>
      </w:r>
    </w:p>
    <w:p>
      <w:pPr>
        <w:spacing w:after="100" w:before="220"/>
      </w:pPr>
      <w:r>
        <w:rPr>
          <w:rFonts w:ascii="Calibri" w:cs="Calibri" w:eastAsia="Calibri" w:hAnsi="Calibri"/>
          <w:b/>
          <w:bCs/>
          <w:color w:val="E87722"/>
          <w:sz w:val="22"/>
          <w:szCs w:val="22"/>
        </w:rPr>
        <w:t xml:space="preserve">2.1. Phase 1 — Préparation (J-7)</w:t>
      </w:r>
    </w:p>
    <w:p>
      <w:pPr>
        <w:pStyle w:val="ListParagraph"/>
        <w:numPr>
          <w:ilvl w:val="0"/>
          <w:numId w:val="2"/>
        </w:numPr>
        <w:spacing w:after="60" w:line="260"/>
      </w:pPr>
      <w:r>
        <w:rPr>
          <w:rFonts w:ascii="Calibri" w:cs="Calibri" w:eastAsia="Calibri" w:hAnsi="Calibri"/>
          <w:sz w:val="20"/>
          <w:szCs w:val="20"/>
        </w:rPr>
        <w:t xml:space="preserve">Notification du Partenaire HRA d'une visite d'audit avec date proposée (préavis minimum 7 jours).</w:t>
      </w:r>
    </w:p>
    <w:p>
      <w:pPr>
        <w:pStyle w:val="ListParagraph"/>
        <w:numPr>
          <w:ilvl w:val="0"/>
          <w:numId w:val="2"/>
        </w:numPr>
        <w:spacing w:after="60" w:line="260"/>
      </w:pPr>
      <w:r>
        <w:rPr>
          <w:rFonts w:ascii="Calibri" w:cs="Calibri" w:eastAsia="Calibri" w:hAnsi="Calibri"/>
          <w:sz w:val="20"/>
          <w:szCs w:val="20"/>
        </w:rPr>
        <w:t xml:space="preserve">Transmission par le Partenaire HRA des pièces administratives (Kbis, URSSAF, RC Pro, HACCP, classement).</w:t>
      </w:r>
    </w:p>
    <w:p>
      <w:pPr>
        <w:pStyle w:val="ListParagraph"/>
        <w:numPr>
          <w:ilvl w:val="0"/>
          <w:numId w:val="2"/>
        </w:numPr>
        <w:spacing w:after="60" w:line="260"/>
      </w:pPr>
      <w:r>
        <w:rPr>
          <w:rFonts w:ascii="Calibri" w:cs="Calibri" w:eastAsia="Calibri" w:hAnsi="Calibri"/>
          <w:sz w:val="20"/>
          <w:szCs w:val="20"/>
        </w:rPr>
        <w:t xml:space="preserve">Vérification administrative préalable par Eventy (cohérence des pièces, vérification publique le cas échéant).</w:t>
      </w:r>
    </w:p>
    <w:p>
      <w:pPr>
        <w:pStyle w:val="ListParagraph"/>
        <w:numPr>
          <w:ilvl w:val="0"/>
          <w:numId w:val="2"/>
        </w:numPr>
        <w:spacing w:after="60" w:line="260"/>
      </w:pPr>
      <w:r>
        <w:rPr>
          <w:rFonts w:ascii="Calibri" w:cs="Calibri" w:eastAsia="Calibri" w:hAnsi="Calibri"/>
          <w:sz w:val="20"/>
          <w:szCs w:val="20"/>
        </w:rPr>
        <w:t xml:space="preserve">Préparation par l'auditeur de la grille d'audit type adaptée à la catégorie HRA.</w:t>
      </w:r>
    </w:p>
    <w:p>
      <w:pPr>
        <w:spacing w:after="100" w:before="220"/>
      </w:pPr>
      <w:r>
        <w:rPr>
          <w:rFonts w:ascii="Calibri" w:cs="Calibri" w:eastAsia="Calibri" w:hAnsi="Calibri"/>
          <w:b/>
          <w:bCs/>
          <w:color w:val="E87722"/>
          <w:sz w:val="22"/>
          <w:szCs w:val="22"/>
        </w:rPr>
        <w:t xml:space="preserve">2.2. Phase 2 — Visite sur place (J0, durée 2 à 4 heures)</w:t>
      </w:r>
    </w:p>
    <w:p>
      <w:pPr>
        <w:pStyle w:val="ListParagraph"/>
        <w:numPr>
          <w:ilvl w:val="0"/>
          <w:numId w:val="2"/>
        </w:numPr>
        <w:spacing w:after="60" w:line="260"/>
      </w:pPr>
      <w:r>
        <w:rPr>
          <w:rFonts w:ascii="Calibri" w:cs="Calibri" w:eastAsia="Calibri" w:hAnsi="Calibri"/>
          <w:sz w:val="20"/>
          <w:szCs w:val="20"/>
        </w:rPr>
        <w:t xml:space="preserve">Accueil par le représentant légal ou directeur d'établissement.</w:t>
      </w:r>
    </w:p>
    <w:p>
      <w:pPr>
        <w:pStyle w:val="ListParagraph"/>
        <w:numPr>
          <w:ilvl w:val="0"/>
          <w:numId w:val="2"/>
        </w:numPr>
        <w:spacing w:after="60" w:line="260"/>
      </w:pPr>
      <w:r>
        <w:rPr>
          <w:rFonts w:ascii="Calibri" w:cs="Calibri" w:eastAsia="Calibri" w:hAnsi="Calibri"/>
          <w:sz w:val="20"/>
          <w:szCs w:val="20"/>
        </w:rPr>
        <w:t xml:space="preserve">Présentation de l'auditeur et de l'objectif de l'audit.</w:t>
      </w:r>
    </w:p>
    <w:p>
      <w:pPr>
        <w:pStyle w:val="ListParagraph"/>
        <w:numPr>
          <w:ilvl w:val="0"/>
          <w:numId w:val="2"/>
        </w:numPr>
        <w:spacing w:after="60" w:line="260"/>
      </w:pPr>
      <w:r>
        <w:rPr>
          <w:rFonts w:ascii="Calibri" w:cs="Calibri" w:eastAsia="Calibri" w:hAnsi="Calibri"/>
          <w:sz w:val="20"/>
          <w:szCs w:val="20"/>
        </w:rPr>
        <w:t xml:space="preserve">Visite guidée de l'établissement (chambres, espaces communs, cuisine, salle de restauration, etc.).</w:t>
      </w:r>
    </w:p>
    <w:p>
      <w:pPr>
        <w:pStyle w:val="ListParagraph"/>
        <w:numPr>
          <w:ilvl w:val="0"/>
          <w:numId w:val="2"/>
        </w:numPr>
        <w:spacing w:after="60" w:line="260"/>
      </w:pPr>
      <w:r>
        <w:rPr>
          <w:rFonts w:ascii="Calibri" w:cs="Calibri" w:eastAsia="Calibri" w:hAnsi="Calibri"/>
          <w:sz w:val="20"/>
          <w:szCs w:val="20"/>
        </w:rPr>
        <w:t xml:space="preserve">Vérification des pièces administratives (originales).</w:t>
      </w:r>
    </w:p>
    <w:p>
      <w:pPr>
        <w:pStyle w:val="ListParagraph"/>
        <w:numPr>
          <w:ilvl w:val="0"/>
          <w:numId w:val="2"/>
        </w:numPr>
        <w:spacing w:after="60" w:line="260"/>
      </w:pPr>
      <w:r>
        <w:rPr>
          <w:rFonts w:ascii="Calibri" w:cs="Calibri" w:eastAsia="Calibri" w:hAnsi="Calibri"/>
          <w:sz w:val="20"/>
          <w:szCs w:val="20"/>
        </w:rPr>
        <w:t xml:space="preserve">Vérification des conditions d'hygiène et de sécurité.</w:t>
      </w:r>
    </w:p>
    <w:p>
      <w:pPr>
        <w:pStyle w:val="ListParagraph"/>
        <w:numPr>
          <w:ilvl w:val="0"/>
          <w:numId w:val="2"/>
        </w:numPr>
        <w:spacing w:after="60" w:line="260"/>
      </w:pPr>
      <w:r>
        <w:rPr>
          <w:rFonts w:ascii="Calibri" w:cs="Calibri" w:eastAsia="Calibri" w:hAnsi="Calibri"/>
          <w:sz w:val="20"/>
          <w:szCs w:val="20"/>
        </w:rPr>
        <w:t xml:space="preserve">Vérification de la capacité d'accueil simultanée pour 38 voyageurs.</w:t>
      </w:r>
    </w:p>
    <w:p>
      <w:pPr>
        <w:pStyle w:val="ListParagraph"/>
        <w:numPr>
          <w:ilvl w:val="0"/>
          <w:numId w:val="2"/>
        </w:numPr>
        <w:spacing w:after="60" w:line="260"/>
      </w:pPr>
      <w:r>
        <w:rPr>
          <w:rFonts w:ascii="Calibri" w:cs="Calibri" w:eastAsia="Calibri" w:hAnsi="Calibri"/>
          <w:sz w:val="20"/>
          <w:szCs w:val="20"/>
        </w:rPr>
        <w:t xml:space="preserve">Échange avec le personnel sur les pratiques opérationnelles.</w:t>
      </w:r>
    </w:p>
    <w:p>
      <w:pPr>
        <w:pStyle w:val="ListParagraph"/>
        <w:numPr>
          <w:ilvl w:val="0"/>
          <w:numId w:val="2"/>
        </w:numPr>
        <w:spacing w:after="60" w:line="260"/>
      </w:pPr>
      <w:r>
        <w:rPr>
          <w:rFonts w:ascii="Calibri" w:cs="Calibri" w:eastAsia="Calibri" w:hAnsi="Calibri"/>
          <w:sz w:val="20"/>
          <w:szCs w:val="20"/>
        </w:rPr>
        <w:t xml:space="preserve">Test pratique le cas échéant (dégustation pour restauration, vérification chambre type pour hôtellerie).</w:t>
      </w:r>
    </w:p>
    <w:p>
      <w:pPr>
        <w:pStyle w:val="ListParagraph"/>
        <w:numPr>
          <w:ilvl w:val="0"/>
          <w:numId w:val="2"/>
        </w:numPr>
        <w:spacing w:after="60" w:line="260"/>
      </w:pPr>
      <w:r>
        <w:rPr>
          <w:rFonts w:ascii="Calibri" w:cs="Calibri" w:eastAsia="Calibri" w:hAnsi="Calibri"/>
          <w:sz w:val="20"/>
          <w:szCs w:val="20"/>
        </w:rPr>
        <w:t xml:space="preserve">Photographies pour le dossier interne (avec accord du Partenaire).</w:t>
      </w:r>
    </w:p>
    <w:p>
      <w:pPr>
        <w:spacing w:after="100" w:before="220"/>
      </w:pPr>
      <w:r>
        <w:rPr>
          <w:rFonts w:ascii="Calibri" w:cs="Calibri" w:eastAsia="Calibri" w:hAnsi="Calibri"/>
          <w:b/>
          <w:bCs/>
          <w:color w:val="E87722"/>
          <w:sz w:val="22"/>
          <w:szCs w:val="22"/>
        </w:rPr>
        <w:t xml:space="preserve">2.3. Grille d'audit type — Hôtellerie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rPr>
          <w:tblHeader/>
        </w:trPr>
        <w:tc>
          <w:tcPr>
            <w:tcW w:type="dxa" w:w="35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Critère</w:t>
            </w:r>
          </w:p>
        </w:tc>
        <w:tc>
          <w:tcPr>
            <w:tcW w:type="dxa" w:w="15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Note /5</w:t>
            </w:r>
          </w:p>
        </w:tc>
        <w:tc>
          <w:tcPr>
            <w:tcW w:type="dxa" w:w="436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Observations attendues</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Conformité administrative (Kbis, URSSAF, RC Pro)</w:t>
            </w:r>
          </w:p>
        </w:tc>
        <w:tc>
          <w:tcPr>
            <w:tcW w:type="dxa" w:w="1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w:t>
            </w:r>
          </w:p>
        </w:tc>
        <w:tc>
          <w:tcPr>
            <w:tcW w:type="dxa" w:w="4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Pièces fournies et à jour</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Classement officiel (étoiles)</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Conforme aux normes Atout France</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Sécurité incendie (commission)</w:t>
            </w:r>
          </w:p>
        </w:tc>
        <w:tc>
          <w:tcPr>
            <w:tcW w:type="dxa" w:w="1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w:t>
            </w:r>
          </w:p>
        </w:tc>
        <w:tc>
          <w:tcPr>
            <w:tcW w:type="dxa" w:w="4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PV de commission de sécurité valide</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État général de l'établissement</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5</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Propreté, entretien, fraîcheur</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Qualité des chambres (échantillon)</w:t>
            </w:r>
          </w:p>
        </w:tc>
        <w:tc>
          <w:tcPr>
            <w:tcW w:type="dxa" w:w="1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5</w:t>
            </w:r>
          </w:p>
        </w:tc>
        <w:tc>
          <w:tcPr>
            <w:tcW w:type="dxa" w:w="4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Literie, sanitaires, isolation phonique</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Espaces communs</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5</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Convivialité, propreté, esthétique</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Capacité d'accueil simultanée 38 voyageurs</w:t>
            </w:r>
          </w:p>
        </w:tc>
        <w:tc>
          <w:tcPr>
            <w:tcW w:type="dxa" w:w="1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OK/NOK</w:t>
            </w:r>
          </w:p>
        </w:tc>
        <w:tc>
          <w:tcPr>
            <w:tcW w:type="dxa" w:w="4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Vérifiée concrètement</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Accessibilité PMR</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Déclaration honnête de l'accessibilité réelle</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Restauration (si applicable)</w:t>
            </w:r>
          </w:p>
        </w:tc>
        <w:tc>
          <w:tcPr>
            <w:tcW w:type="dxa" w:w="1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5</w:t>
            </w:r>
          </w:p>
        </w:tc>
        <w:tc>
          <w:tcPr>
            <w:tcW w:type="dxa" w:w="4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Voir grille restauration</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Personnel (formation, langues)</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5</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Niveau professionnel adapté</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Localisation et accès groupe</w:t>
            </w:r>
          </w:p>
        </w:tc>
        <w:tc>
          <w:tcPr>
            <w:tcW w:type="dxa" w:w="1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5</w:t>
            </w:r>
          </w:p>
        </w:tc>
        <w:tc>
          <w:tcPr>
            <w:tcW w:type="dxa" w:w="4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Stationnement autocar, proximité activités</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Tarification proposée</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Cohérente avec le marché</w:t>
            </w:r>
          </w:p>
        </w:tc>
      </w:tr>
    </w:tbl>
    <w:p>
      <w:pPr>
        <w:spacing w:after="100" w:before="220"/>
      </w:pPr>
      <w:r>
        <w:rPr>
          <w:rFonts w:ascii="Calibri" w:cs="Calibri" w:eastAsia="Calibri" w:hAnsi="Calibri"/>
          <w:b/>
          <w:bCs/>
          <w:color w:val="E87722"/>
          <w:sz w:val="22"/>
          <w:szCs w:val="22"/>
        </w:rPr>
        <w:t xml:space="preserve">2.4. Grille d'audit type — Restauration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rPr>
          <w:tblHeader/>
        </w:trPr>
        <w:tc>
          <w:tcPr>
            <w:tcW w:type="dxa" w:w="35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Critère</w:t>
            </w:r>
          </w:p>
        </w:tc>
        <w:tc>
          <w:tcPr>
            <w:tcW w:type="dxa" w:w="15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Note /5</w:t>
            </w:r>
          </w:p>
        </w:tc>
        <w:tc>
          <w:tcPr>
            <w:tcW w:type="dxa" w:w="436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Observations attendues</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Attestation HACCP à jour</w:t>
            </w:r>
          </w:p>
        </w:tc>
        <w:tc>
          <w:tcPr>
            <w:tcW w:type="dxa" w:w="1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w:t>
            </w:r>
          </w:p>
        </w:tc>
        <w:tc>
          <w:tcPr>
            <w:tcW w:type="dxa" w:w="4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Document fourni</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Hygiène cuisine</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5</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Propreté, traçabilité, températures</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Hygiène salle</w:t>
            </w:r>
          </w:p>
        </w:tc>
        <w:tc>
          <w:tcPr>
            <w:tcW w:type="dxa" w:w="1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5</w:t>
            </w:r>
          </w:p>
        </w:tc>
        <w:tc>
          <w:tcPr>
            <w:tcW w:type="dxa" w:w="4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Propreté, sanitaires</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Capacité simultanée 38 couverts</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OK/NOK</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Vérifiée concrètement</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Allergènes documentés</w:t>
            </w:r>
          </w:p>
        </w:tc>
        <w:tc>
          <w:tcPr>
            <w:tcW w:type="dxa" w:w="1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w:t>
            </w:r>
          </w:p>
        </w:tc>
        <w:tc>
          <w:tcPr>
            <w:tcW w:type="dxa" w:w="4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Fiche allergènes par plat</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Qualité culinaire (dégustation)</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5</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Saveur, présentation, fraîcheur</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Diversité menu groupe</w:t>
            </w:r>
          </w:p>
        </w:tc>
        <w:tc>
          <w:tcPr>
            <w:tcW w:type="dxa" w:w="1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w:t>
            </w:r>
          </w:p>
        </w:tc>
        <w:tc>
          <w:tcPr>
            <w:tcW w:type="dxa" w:w="4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Options carnée/végétarienne/sans gluten</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Service (timing, professionnalisme)</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5</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Capacité à gérer un groupe</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Sourcing local (recommandé)</w:t>
            </w:r>
          </w:p>
        </w:tc>
        <w:tc>
          <w:tcPr>
            <w:tcW w:type="dxa" w:w="1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w:t>
            </w:r>
          </w:p>
        </w:tc>
        <w:tc>
          <w:tcPr>
            <w:tcW w:type="dxa" w:w="4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Privilège produits frais et locaux</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Tarification groupe</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Cohérente avec offres équivalentes</w:t>
            </w:r>
          </w:p>
        </w:tc>
      </w:tr>
    </w:tbl>
    <w:p>
      <w:pPr>
        <w:spacing w:after="100" w:before="220"/>
      </w:pPr>
      <w:r>
        <w:rPr>
          <w:rFonts w:ascii="Calibri" w:cs="Calibri" w:eastAsia="Calibri" w:hAnsi="Calibri"/>
          <w:b/>
          <w:bCs/>
          <w:color w:val="E87722"/>
          <w:sz w:val="22"/>
          <w:szCs w:val="22"/>
        </w:rPr>
        <w:t xml:space="preserve">2.5. Grille d'audit type — Activités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rPr>
          <w:tblHeader/>
        </w:trPr>
        <w:tc>
          <w:tcPr>
            <w:tcW w:type="dxa" w:w="35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Critère</w:t>
            </w:r>
          </w:p>
        </w:tc>
        <w:tc>
          <w:tcPr>
            <w:tcW w:type="dxa" w:w="15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Note /5</w:t>
            </w:r>
          </w:p>
        </w:tc>
        <w:tc>
          <w:tcPr>
            <w:tcW w:type="dxa" w:w="436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Observations attendues</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Agrément spécifique (guide, sportif, etc.)</w:t>
            </w:r>
          </w:p>
        </w:tc>
        <w:tc>
          <w:tcPr>
            <w:tcW w:type="dxa" w:w="1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w:t>
            </w:r>
          </w:p>
        </w:tc>
        <w:tc>
          <w:tcPr>
            <w:tcW w:type="dxa" w:w="4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Document fourni</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Sécurité (équipements, formation, secours)</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5</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Conforme aux normes</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Capacité simultanée 38 personnes</w:t>
            </w:r>
          </w:p>
        </w:tc>
        <w:tc>
          <w:tcPr>
            <w:tcW w:type="dxa" w:w="1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OK/NOK</w:t>
            </w:r>
          </w:p>
        </w:tc>
        <w:tc>
          <w:tcPr>
            <w:tcW w:type="dxa" w:w="4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Vérifiée concrètement</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Qualité prestation (test si possible)</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5</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Professionnalisme, intérêt voyageur</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Personnel (langues, formation)</w:t>
            </w:r>
          </w:p>
        </w:tc>
        <w:tc>
          <w:tcPr>
            <w:tcW w:type="dxa" w:w="1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5</w:t>
            </w:r>
          </w:p>
        </w:tc>
        <w:tc>
          <w:tcPr>
            <w:tcW w:type="dxa" w:w="4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Niveau adapté</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Tarification groupe</w:t>
            </w:r>
          </w:p>
        </w:tc>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Cohérente</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Accessibilité PMR</w:t>
            </w:r>
          </w:p>
        </w:tc>
        <w:tc>
          <w:tcPr>
            <w:tcW w:type="dxa" w:w="1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w:t>
            </w:r>
          </w:p>
        </w:tc>
        <w:tc>
          <w:tcPr>
            <w:tcW w:type="dxa" w:w="43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Déclaration honnête</w:t>
            </w:r>
          </w:p>
        </w:tc>
      </w:tr>
    </w:tbl>
    <w:p>
      <w:pPr>
        <w:spacing w:after="100" w:before="220"/>
      </w:pPr>
      <w:r>
        <w:rPr>
          <w:rFonts w:ascii="Calibri" w:cs="Calibri" w:eastAsia="Calibri" w:hAnsi="Calibri"/>
          <w:b/>
          <w:bCs/>
          <w:color w:val="E87722"/>
          <w:sz w:val="22"/>
          <w:szCs w:val="22"/>
        </w:rPr>
        <w:t xml:space="preserve">2.6. Phase 3 — Synthèse et décision</w:t>
      </w:r>
    </w:p>
    <w:p>
      <w:pPr>
        <w:pStyle w:val="ListParagraph"/>
        <w:numPr>
          <w:ilvl w:val="0"/>
          <w:numId w:val="2"/>
        </w:numPr>
        <w:spacing w:after="60" w:line="260"/>
      </w:pPr>
      <w:r>
        <w:rPr>
          <w:rFonts w:ascii="Calibri" w:cs="Calibri" w:eastAsia="Calibri" w:hAnsi="Calibri"/>
          <w:sz w:val="20"/>
          <w:szCs w:val="20"/>
        </w:rPr>
        <w:t xml:space="preserve">Rédaction d'un rapport d'audit sous 7 jours après la visite.</w:t>
      </w:r>
    </w:p>
    <w:p>
      <w:pPr>
        <w:pStyle w:val="ListParagraph"/>
        <w:numPr>
          <w:ilvl w:val="0"/>
          <w:numId w:val="2"/>
        </w:numPr>
        <w:spacing w:after="60" w:line="260"/>
      </w:pPr>
      <w:r>
        <w:rPr>
          <w:rFonts w:ascii="Calibri" w:cs="Calibri" w:eastAsia="Calibri" w:hAnsi="Calibri"/>
          <w:sz w:val="20"/>
          <w:szCs w:val="20"/>
        </w:rPr>
        <w:t xml:space="preserve">Note globale sur 5 (moyenne pondérée des critères).</w:t>
      </w:r>
    </w:p>
    <w:p>
      <w:pPr>
        <w:pStyle w:val="ListParagraph"/>
        <w:numPr>
          <w:ilvl w:val="0"/>
          <w:numId w:val="2"/>
        </w:numPr>
        <w:spacing w:after="60" w:line="260"/>
      </w:pPr>
      <w:r>
        <w:rPr>
          <w:rFonts w:ascii="Calibri" w:cs="Calibri" w:eastAsia="Calibri" w:hAnsi="Calibri"/>
          <w:sz w:val="20"/>
          <w:szCs w:val="20"/>
        </w:rPr>
        <w:t xml:space="preserve">Décision Eventy : référencement validé / référencement conditionné / refus de référencement.</w:t>
      </w:r>
    </w:p>
    <w:p>
      <w:pPr>
        <w:pStyle w:val="ListParagraph"/>
        <w:numPr>
          <w:ilvl w:val="0"/>
          <w:numId w:val="2"/>
        </w:numPr>
        <w:spacing w:after="60" w:line="260"/>
      </w:pPr>
      <w:r>
        <w:rPr>
          <w:rFonts w:ascii="Calibri" w:cs="Calibri" w:eastAsia="Calibri" w:hAnsi="Calibri"/>
          <w:sz w:val="20"/>
          <w:szCs w:val="20"/>
        </w:rPr>
        <w:t xml:space="preserve">Référencement validé : signature contrat-cadre HRA + charte fournisseurs.</w:t>
      </w:r>
    </w:p>
    <w:p>
      <w:pPr>
        <w:pStyle w:val="ListParagraph"/>
        <w:numPr>
          <w:ilvl w:val="0"/>
          <w:numId w:val="2"/>
        </w:numPr>
        <w:spacing w:after="60" w:line="260"/>
      </w:pPr>
      <w:r>
        <w:rPr>
          <w:rFonts w:ascii="Calibri" w:cs="Calibri" w:eastAsia="Calibri" w:hAnsi="Calibri"/>
          <w:sz w:val="20"/>
          <w:szCs w:val="20"/>
        </w:rPr>
        <w:t xml:space="preserve">Référencement conditionné : plan d'amélioration sous 30 jours puis nouvel audit.</w:t>
      </w:r>
    </w:p>
    <w:p>
      <w:pPr>
        <w:pStyle w:val="ListParagraph"/>
        <w:numPr>
          <w:ilvl w:val="0"/>
          <w:numId w:val="2"/>
        </w:numPr>
        <w:spacing w:after="60" w:line="260"/>
      </w:pPr>
      <w:r>
        <w:rPr>
          <w:rFonts w:ascii="Calibri" w:cs="Calibri" w:eastAsia="Calibri" w:hAnsi="Calibri"/>
          <w:sz w:val="20"/>
          <w:szCs w:val="20"/>
        </w:rPr>
        <w:t xml:space="preserve">Refus : notification motivée au Partenaire.</w:t>
      </w:r>
    </w:p>
    <w:p>
      <w:pPr>
        <w:spacing w:after="160" w:before="240"/>
      </w:pPr>
      <w:r>
        <w:rPr>
          <w:rFonts w:ascii="Calibri" w:cs="Calibri" w:eastAsia="Calibri" w:hAnsi="Calibri"/>
          <w:b/>
          <w:bCs/>
          <w:color w:val="1F4E79"/>
          <w:sz w:val="32"/>
          <w:szCs w:val="32"/>
        </w:rPr>
        <w:t xml:space="preserve">3. Audits récurrents annuels</w:t>
      </w:r>
    </w:p>
    <w:p>
      <w:pPr>
        <w:spacing w:after="100" w:before="220"/>
      </w:pPr>
      <w:r>
        <w:rPr>
          <w:rFonts w:ascii="Calibri" w:cs="Calibri" w:eastAsia="Calibri" w:hAnsi="Calibri"/>
          <w:b/>
          <w:bCs/>
          <w:color w:val="E87722"/>
          <w:sz w:val="22"/>
          <w:szCs w:val="22"/>
        </w:rPr>
        <w:t xml:space="preserve">3.1. Modalités</w:t>
      </w:r>
    </w:p>
    <w:p>
      <w:pPr>
        <w:pStyle w:val="ListParagraph"/>
        <w:numPr>
          <w:ilvl w:val="0"/>
          <w:numId w:val="2"/>
        </w:numPr>
        <w:spacing w:after="60" w:line="260"/>
      </w:pPr>
      <w:r>
        <w:rPr>
          <w:rFonts w:ascii="Calibri" w:cs="Calibri" w:eastAsia="Calibri" w:hAnsi="Calibri"/>
          <w:sz w:val="20"/>
          <w:szCs w:val="20"/>
        </w:rPr>
        <w:t xml:space="preserve">Audit récurrent annuel pour tous les Partenaires HRA actifs.</w:t>
      </w:r>
    </w:p>
    <w:p>
      <w:pPr>
        <w:pStyle w:val="ListParagraph"/>
        <w:numPr>
          <w:ilvl w:val="0"/>
          <w:numId w:val="2"/>
        </w:numPr>
        <w:spacing w:after="60" w:line="260"/>
      </w:pPr>
      <w:r>
        <w:rPr>
          <w:rFonts w:ascii="Calibri" w:cs="Calibri" w:eastAsia="Calibri" w:hAnsi="Calibri"/>
          <w:sz w:val="20"/>
          <w:szCs w:val="20"/>
        </w:rPr>
        <w:t xml:space="preserve">Modalité : visite sur place pour les Partenaires majeurs (≥ 5 voyages/an), audit documentaire pour les autres.</w:t>
      </w:r>
    </w:p>
    <w:p>
      <w:pPr>
        <w:pStyle w:val="ListParagraph"/>
        <w:numPr>
          <w:ilvl w:val="0"/>
          <w:numId w:val="2"/>
        </w:numPr>
        <w:spacing w:after="60" w:line="260"/>
      </w:pPr>
      <w:r>
        <w:rPr>
          <w:rFonts w:ascii="Calibri" w:cs="Calibri" w:eastAsia="Calibri" w:hAnsi="Calibri"/>
          <w:sz w:val="20"/>
          <w:szCs w:val="20"/>
        </w:rPr>
        <w:t xml:space="preserve">Préavis 7 jours pour les visites sur place.</w:t>
      </w:r>
    </w:p>
    <w:p>
      <w:pPr>
        <w:pStyle w:val="ListParagraph"/>
        <w:numPr>
          <w:ilvl w:val="0"/>
          <w:numId w:val="2"/>
        </w:numPr>
        <w:spacing w:after="60" w:line="260"/>
      </w:pPr>
      <w:r>
        <w:rPr>
          <w:rFonts w:ascii="Calibri" w:cs="Calibri" w:eastAsia="Calibri" w:hAnsi="Calibri"/>
          <w:sz w:val="20"/>
          <w:szCs w:val="20"/>
        </w:rPr>
        <w:t xml:space="preserve">Coût supporté par Eventy (pas de facturation au Partenaire).</w:t>
      </w:r>
    </w:p>
    <w:p>
      <w:pPr>
        <w:spacing w:after="100" w:before="220"/>
      </w:pPr>
      <w:r>
        <w:rPr>
          <w:rFonts w:ascii="Calibri" w:cs="Calibri" w:eastAsia="Calibri" w:hAnsi="Calibri"/>
          <w:b/>
          <w:bCs/>
          <w:color w:val="E87722"/>
          <w:sz w:val="22"/>
          <w:szCs w:val="22"/>
        </w:rPr>
        <w:t xml:space="preserve">3.2. Critères d'évaluation continue</w:t>
      </w:r>
    </w:p>
    <w:p>
      <w:pPr>
        <w:pStyle w:val="ListParagraph"/>
        <w:numPr>
          <w:ilvl w:val="0"/>
          <w:numId w:val="2"/>
        </w:numPr>
        <w:spacing w:after="60" w:line="260"/>
      </w:pPr>
      <w:r>
        <w:rPr>
          <w:rFonts w:ascii="Calibri" w:cs="Calibri" w:eastAsia="Calibri" w:hAnsi="Calibri"/>
          <w:sz w:val="20"/>
          <w:szCs w:val="20"/>
        </w:rPr>
        <w:t xml:space="preserve">Maintien de la note ≥ 4/5 sur les critères audités initialement.</w:t>
      </w:r>
    </w:p>
    <w:p>
      <w:pPr>
        <w:pStyle w:val="ListParagraph"/>
        <w:numPr>
          <w:ilvl w:val="0"/>
          <w:numId w:val="2"/>
        </w:numPr>
        <w:spacing w:after="60" w:line="260"/>
      </w:pPr>
      <w:r>
        <w:rPr>
          <w:rFonts w:ascii="Calibri" w:cs="Calibri" w:eastAsia="Calibri" w:hAnsi="Calibri"/>
          <w:sz w:val="20"/>
          <w:szCs w:val="20"/>
        </w:rPr>
        <w:t xml:space="preserve">Notes voyageurs sur les voyages de l'année écoulée (NPS partenaire HRA).</w:t>
      </w:r>
    </w:p>
    <w:p>
      <w:pPr>
        <w:pStyle w:val="ListParagraph"/>
        <w:numPr>
          <w:ilvl w:val="0"/>
          <w:numId w:val="2"/>
        </w:numPr>
        <w:spacing w:after="60" w:line="260"/>
      </w:pPr>
      <w:r>
        <w:rPr>
          <w:rFonts w:ascii="Calibri" w:cs="Calibri" w:eastAsia="Calibri" w:hAnsi="Calibri"/>
          <w:sz w:val="20"/>
          <w:szCs w:val="20"/>
        </w:rPr>
        <w:t xml:space="preserve">Nombre de réclamations voyageurs imputables au Partenaire.</w:t>
      </w:r>
    </w:p>
    <w:p>
      <w:pPr>
        <w:pStyle w:val="ListParagraph"/>
        <w:numPr>
          <w:ilvl w:val="0"/>
          <w:numId w:val="2"/>
        </w:numPr>
        <w:spacing w:after="60" w:line="260"/>
      </w:pPr>
      <w:r>
        <w:rPr>
          <w:rFonts w:ascii="Calibri" w:cs="Calibri" w:eastAsia="Calibri" w:hAnsi="Calibri"/>
          <w:sz w:val="20"/>
          <w:szCs w:val="20"/>
        </w:rPr>
        <w:t xml:space="preserve">Respect des bons de commande (pénalités d'annulation, capacité confirmée).</w:t>
      </w:r>
    </w:p>
    <w:p>
      <w:pPr>
        <w:pStyle w:val="ListParagraph"/>
        <w:numPr>
          <w:ilvl w:val="0"/>
          <w:numId w:val="2"/>
        </w:numPr>
        <w:spacing w:after="60" w:line="260"/>
      </w:pPr>
      <w:r>
        <w:rPr>
          <w:rFonts w:ascii="Calibri" w:cs="Calibri" w:eastAsia="Calibri" w:hAnsi="Calibri"/>
          <w:sz w:val="20"/>
          <w:szCs w:val="20"/>
        </w:rPr>
        <w:t xml:space="preserve">Évolution des pièces administratives (à jour).</w:t>
      </w:r>
    </w:p>
    <w:p>
      <w:pPr>
        <w:pStyle w:val="ListParagraph"/>
        <w:numPr>
          <w:ilvl w:val="0"/>
          <w:numId w:val="2"/>
        </w:numPr>
        <w:spacing w:after="60" w:line="260"/>
      </w:pPr>
      <w:r>
        <w:rPr>
          <w:rFonts w:ascii="Calibri" w:cs="Calibri" w:eastAsia="Calibri" w:hAnsi="Calibri"/>
          <w:sz w:val="20"/>
          <w:szCs w:val="20"/>
        </w:rPr>
        <w:t xml:space="preserve">Engagement de progrès sur les indicateurs RSE.</w:t>
      </w:r>
    </w:p>
    <w:p>
      <w:pPr>
        <w:spacing w:after="100" w:before="220"/>
      </w:pPr>
      <w:r>
        <w:rPr>
          <w:rFonts w:ascii="Calibri" w:cs="Calibri" w:eastAsia="Calibri" w:hAnsi="Calibri"/>
          <w:b/>
          <w:bCs/>
          <w:color w:val="E87722"/>
          <w:sz w:val="22"/>
          <w:szCs w:val="22"/>
        </w:rPr>
        <w:t xml:space="preserve">3.3. Audits inopinés</w:t>
      </w:r>
    </w:p>
    <w:p>
      <w:pPr>
        <w:pStyle w:val="ListParagraph"/>
        <w:numPr>
          <w:ilvl w:val="0"/>
          <w:numId w:val="2"/>
        </w:numPr>
        <w:spacing w:after="60" w:line="260"/>
      </w:pPr>
      <w:r>
        <w:rPr>
          <w:rFonts w:ascii="Calibri" w:cs="Calibri" w:eastAsia="Calibri" w:hAnsi="Calibri"/>
          <w:sz w:val="20"/>
          <w:szCs w:val="20"/>
        </w:rPr>
        <w:t xml:space="preserve">Voyageur-mystère : audit incognito sur un voyage Eventy en cours (1 à 2 fois par an pour les Partenaires majeurs).</w:t>
      </w:r>
    </w:p>
    <w:p>
      <w:pPr>
        <w:pStyle w:val="ListParagraph"/>
        <w:numPr>
          <w:ilvl w:val="0"/>
          <w:numId w:val="2"/>
        </w:numPr>
        <w:spacing w:after="60" w:line="260"/>
      </w:pPr>
      <w:r>
        <w:rPr>
          <w:rFonts w:ascii="Calibri" w:cs="Calibri" w:eastAsia="Calibri" w:hAnsi="Calibri"/>
          <w:sz w:val="20"/>
          <w:szCs w:val="20"/>
        </w:rPr>
        <w:t xml:space="preserve">Visite ponctuelle Responsable opérations Eventy : déclenchée en cas de signal faible (réclamation, retour accompagnateur).</w:t>
      </w:r>
    </w:p>
    <w:p>
      <w:pPr>
        <w:pStyle w:val="ListParagraph"/>
        <w:numPr>
          <w:ilvl w:val="0"/>
          <w:numId w:val="2"/>
        </w:numPr>
        <w:spacing w:after="60" w:line="260"/>
      </w:pPr>
      <w:r>
        <w:rPr>
          <w:rFonts w:ascii="Calibri" w:cs="Calibri" w:eastAsia="Calibri" w:hAnsi="Calibri"/>
          <w:sz w:val="20"/>
          <w:szCs w:val="20"/>
        </w:rPr>
        <w:t xml:space="preserve">Audit déclenché en cas de plainte voyageur grave (sous 7 jours).</w:t>
      </w:r>
    </w:p>
    <w:p>
      <w:pPr>
        <w:spacing w:after="160" w:before="240"/>
      </w:pPr>
      <w:r>
        <w:rPr>
          <w:rFonts w:ascii="Calibri" w:cs="Calibri" w:eastAsia="Calibri" w:hAnsi="Calibri"/>
          <w:b/>
          <w:bCs/>
          <w:color w:val="1F4E79"/>
          <w:sz w:val="32"/>
          <w:szCs w:val="32"/>
        </w:rPr>
        <w:t xml:space="preserve">4. Conséquences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Note moyenne audit</w:t>
            </w:r>
          </w:p>
        </w:tc>
        <w:tc>
          <w:tcPr>
            <w:tcW w:type="dxa" w:w="586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Décision Eventy</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4,5/5</w:t>
            </w:r>
          </w:p>
        </w:tc>
        <w:tc>
          <w:tcPr>
            <w:tcW w:type="dxa" w:w="58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Partenaire premium · éligible à des voyages haut de gamme · mise en avant sur eventylife.fr</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4,0/5 et &lt; 4,5/5</w:t>
            </w:r>
          </w:p>
        </w:tc>
        <w:tc>
          <w:tcPr>
            <w:tcW w:type="dxa" w:w="58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Partenaire validé · maintien du référencement</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3,5/5 et &lt; 4,0/5</w:t>
            </w:r>
          </w:p>
        </w:tc>
        <w:tc>
          <w:tcPr>
            <w:tcW w:type="dxa" w:w="58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Partenaire sous surveillance · plan d'amélioration sous 30 jours</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3,0/5 et &lt; 3,5/5</w:t>
            </w:r>
          </w:p>
        </w:tc>
        <w:tc>
          <w:tcPr>
            <w:tcW w:type="dxa" w:w="58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Partenaire suspendu temporairement · audit complémentaire à 60 jours</w:t>
            </w:r>
          </w:p>
        </w:tc>
      </w:tr>
      <w:tr>
        <w:tc>
          <w:tcPr>
            <w:tcW w:type="dxa" w:w="35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&lt; 3,0/5</w:t>
            </w:r>
          </w:p>
        </w:tc>
        <w:tc>
          <w:tcPr>
            <w:tcW w:type="dxa" w:w="58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Déréférencement définitif</w:t>
            </w:r>
          </w:p>
        </w:tc>
      </w:tr>
      <w:t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Manquement éthique caractérisé</w:t>
            </w:r>
          </w:p>
        </w:tc>
        <w:tc>
          <w:tcPr>
            <w:tcW w:type="dxa" w:w="58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Déréférencement immédiat sans préavis</w:t>
            </w:r>
          </w:p>
        </w:tc>
      </w:tr>
    </w:tbl>
    <w:p>
      <w:pPr>
        <w:spacing w:after="160" w:before="240"/>
      </w:pPr>
      <w:r>
        <w:rPr>
          <w:rFonts w:ascii="Calibri" w:cs="Calibri" w:eastAsia="Calibri" w:hAnsi="Calibri"/>
          <w:b/>
          <w:bCs/>
          <w:color w:val="1F4E79"/>
          <w:sz w:val="32"/>
          <w:szCs w:val="32"/>
        </w:rPr>
        <w:t xml:space="preserve">5. Documentation et archivage</w:t>
      </w:r>
    </w:p>
    <w:p>
      <w:pPr>
        <w:pStyle w:val="ListParagraph"/>
        <w:numPr>
          <w:ilvl w:val="0"/>
          <w:numId w:val="2"/>
        </w:numPr>
        <w:spacing w:after="60" w:line="260"/>
      </w:pPr>
      <w:r>
        <w:rPr>
          <w:rFonts w:ascii="Calibri" w:cs="Calibri" w:eastAsia="Calibri" w:hAnsi="Calibri"/>
          <w:sz w:val="20"/>
          <w:szCs w:val="20"/>
        </w:rPr>
        <w:t xml:space="preserve">Tous les rapports d'audit sont archivés dans la fiche partenaire de la plateforme Eventy.</w:t>
      </w:r>
    </w:p>
    <w:p>
      <w:pPr>
        <w:pStyle w:val="ListParagraph"/>
        <w:numPr>
          <w:ilvl w:val="0"/>
          <w:numId w:val="2"/>
        </w:numPr>
        <w:spacing w:after="60" w:line="260"/>
      </w:pPr>
      <w:r>
        <w:rPr>
          <w:rFonts w:ascii="Calibri" w:cs="Calibri" w:eastAsia="Calibri" w:hAnsi="Calibri"/>
          <w:sz w:val="20"/>
          <w:szCs w:val="20"/>
        </w:rPr>
        <w:t xml:space="preserve">Conservation 10 ans (durée légale + bonne pratique).</w:t>
      </w:r>
    </w:p>
    <w:p>
      <w:pPr>
        <w:pStyle w:val="ListParagraph"/>
        <w:numPr>
          <w:ilvl w:val="0"/>
          <w:numId w:val="2"/>
        </w:numPr>
        <w:spacing w:after="60" w:line="260"/>
      </w:pPr>
      <w:r>
        <w:rPr>
          <w:rFonts w:ascii="Calibri" w:cs="Calibri" w:eastAsia="Calibri" w:hAnsi="Calibri"/>
          <w:sz w:val="20"/>
          <w:szCs w:val="20"/>
        </w:rPr>
        <w:t xml:space="preserve">Accès limité au Responsable opérations, au Président, et aux auditeurs autorisés.</w:t>
      </w:r>
    </w:p>
    <w:p>
      <w:pPr>
        <w:pStyle w:val="ListParagraph"/>
        <w:numPr>
          <w:ilvl w:val="0"/>
          <w:numId w:val="2"/>
        </w:numPr>
        <w:spacing w:after="60" w:line="260"/>
      </w:pPr>
      <w:r>
        <w:rPr>
          <w:rFonts w:ascii="Calibri" w:cs="Calibri" w:eastAsia="Calibri" w:hAnsi="Calibri"/>
          <w:sz w:val="20"/>
          <w:szCs w:val="20"/>
        </w:rPr>
        <w:t xml:space="preserve">Le Partenaire reçoit copie de son propre rapport d'audit.</w:t>
      </w:r>
    </w:p>
    <w:p>
      <w:pPr>
        <w:spacing w:after="160"/>
      </w:pPr>
      <w:r>
        <w:t xml:space="preserve"/>
      </w:r>
    </w:p>
    <w:p>
      <w:pPr>
        <w:spacing w:after="100" w:line="280"/>
        <w:jc w:val="both"/>
      </w:pPr>
      <w:r>
        <w:rPr>
          <w:rFonts w:ascii="Calibri" w:cs="Calibri" w:eastAsia="Calibri" w:hAnsi="Calibri"/>
          <w:i/>
          <w:iCs/>
          <w:color w:val="555555"/>
          <w:sz w:val="18"/>
          <w:szCs w:val="18"/>
        </w:rPr>
        <w:t xml:space="preserve">Document opérationnel interne — Version 1.0 — 30 avril 2026. Mise à jour annuelle.</w:t>
      </w:r>
    </w:p>
    <w:p>
      <w:pPr>
        <w:spacing w:after="100" w:line="280"/>
        <w:jc w:val="both"/>
      </w:pPr>
      <w:r>
        <w:rPr>
          <w:rFonts w:ascii="Calibri" w:cs="Calibri" w:eastAsia="Calibri" w:hAnsi="Calibri"/>
          <w:i/>
          <w:iCs/>
          <w:color w:val="555555"/>
          <w:sz w:val="18"/>
          <w:szCs w:val="18"/>
        </w:rPr>
        <w:t xml:space="preserve">Cohérence avec : Contrat-cadre HRA Partenaire (Article 4) · Charte fournisseurs · Onboarding partenaires.</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55555"/>
        <w:sz w:val="14"/>
        <w:szCs w:val="14"/>
      </w:rPr>
      <w:t xml:space="preserve">EVENTY LIFE SAS — Procédure audit qualité HRA</w:t>
    </w:r>
    <w:r>
      <w:rPr>
        <w:rFonts w:ascii="Calibri" w:cs="Calibri" w:eastAsia="Calibri" w:hAnsi="Calibri"/>
        <w:color w:val="555555"/>
        <w:sz w:val="14"/>
        <w:szCs w:val="14"/>
      </w:rPr>
      <w:t xml:space="preserve">	Page </w:t>
    </w:r>
    <w:r>
      <w:rPr>
        <w:rFonts w:ascii="Calibri" w:cs="Calibri" w:eastAsia="Calibri" w:hAnsi="Calibri"/>
        <w:color w:val="555555"/>
        <w:sz w:val="14"/>
        <w:szCs w:val="14"/>
      </w:rPr>
      <w:fldChar w:fldCharType="begin"/>
      <w:instrText xml:space="preserve">PAGE</w:instrText>
      <w:fldChar w:fldCharType="separate"/>
      <w:fldChar w:fldCharType="end"/>
    </w:r>
    <w:r>
      <w:rPr>
        <w:rFonts w:ascii="Calibri" w:cs="Calibri" w:eastAsia="Calibri" w:hAnsi="Calibri"/>
        <w:color w:val="555555"/>
        <w:sz w:val="14"/>
        <w:szCs w:val="14"/>
      </w:rPr>
      <w:t xml:space="preserve"> / </w:t>
    </w:r>
    <w:r>
      <w:rPr>
        <w:rFonts w:ascii="Calibri" w:cs="Calibri" w:eastAsia="Calibri" w:hAnsi="Calibri"/>
        <w:color w:val="55555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Eventy Life — Procédure d'audit qualité HRA</dc:title>
  <dc:creator>David Eventy — Eventy Life SAS</dc:creator>
  <dc:description>Procédure d'audit qualité initial et récurrent des partenaires HRA.</dc:description>
  <cp:lastModifiedBy>Un-named</cp:lastModifiedBy>
  <cp:revision>1</cp:revision>
  <dcterms:created xsi:type="dcterms:W3CDTF">2026-04-30T09:23:34.061Z</dcterms:created>
  <dcterms:modified xsi:type="dcterms:W3CDTF">2026-04-30T09:23:34.061Z</dcterms:modified>
</cp:coreProperties>
</file>

<file path=docProps/custom.xml><?xml version="1.0" encoding="utf-8"?>
<Properties xmlns="http://schemas.openxmlformats.org/officeDocument/2006/custom-properties" xmlns:vt="http://schemas.openxmlformats.org/officeDocument/2006/docPropsVTypes"/>
</file>