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CHARTE DES VALEURS ET CODE ÉTHIQUE ÉQUIPE</w:t>
            </w:r>
          </w:p>
          <w:p>
            <w:pPr>
              <w:spacing w:after="0"/>
              <w:jc w:val="center"/>
            </w:pPr>
            <w:r>
              <w:rPr>
                <w:rFonts w:ascii="Calibri" w:cs="Calibri" w:eastAsia="Calibri" w:hAnsi="Calibri"/>
                <w:i/>
                <w:iCs/>
                <w:color w:val="1F4E79"/>
                <w:sz w:val="18"/>
                <w:szCs w:val="18"/>
              </w:rPr>
              <w:t xml:space="preserve">Culture interne et code de conduite des collaborateurs Eventy Life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charte formalise les valeurs et le code éthique de l'équipe d'EVENTY LIFE SAS. Elle complète la Charte télétravail (qui couvre l'organisation), la Procédure de recrutement (qui couvre l'arrivée), le Modèle d'entretien annuel (qui couvre le développement), la Politique anti-corruption et la Politique de gestion des conflits d'intérêts. Elle pose le socle culturel d'Eventy : ce qui nous unit, ce qui nous distingue, ce qui nous engage.</w:t>
      </w:r>
    </w:p>
    <w:p>
      <w:pPr>
        <w:spacing w:after="100" w:line="280"/>
        <w:jc w:val="both"/>
      </w:pPr>
      <w:r>
        <w:rPr>
          <w:rFonts w:ascii="Calibri" w:cs="Calibri" w:eastAsia="Calibri" w:hAnsi="Calibri"/>
          <w:i/>
          <w:iCs/>
          <w:color w:val="1A1A1A"/>
          <w:sz w:val="20"/>
          <w:szCs w:val="20"/>
        </w:rPr>
        <w:t xml:space="preserve">Eventy n'est pas qu'une entreprise — c'est un projet humain. Notre culture interne reflète notre projet externe : chaleur, transparence, respect, refus de l'extraction. La présente charte n'est pas un texte officiel à classer ; c'est un engagement vivant, lu en équipe, discuté, mis à jour. Elle nous rappelle pourquoi on fait ce qu'on fait.</w:t>
      </w:r>
    </w:p>
    <w:p>
      <w:pPr>
        <w:spacing w:after="160" w:before="240"/>
      </w:pPr>
      <w:r>
        <w:rPr>
          <w:rFonts w:ascii="Calibri" w:cs="Calibri" w:eastAsia="Calibri" w:hAnsi="Calibri"/>
          <w:b/>
          <w:bCs/>
          <w:color w:val="1F4E79"/>
          <w:sz w:val="32"/>
          <w:szCs w:val="32"/>
        </w:rPr>
        <w:t xml:space="preserve">1. Cinq valeurs Eventy</w:t>
      </w:r>
    </w:p>
    <w:p>
      <w:pPr>
        <w:spacing w:after="100" w:before="220"/>
      </w:pPr>
      <w:r>
        <w:rPr>
          <w:rFonts w:ascii="Calibri" w:cs="Calibri" w:eastAsia="Calibri" w:hAnsi="Calibri"/>
          <w:b/>
          <w:bCs/>
          <w:color w:val="E87722"/>
          <w:sz w:val="22"/>
          <w:szCs w:val="22"/>
        </w:rPr>
        <w:t xml:space="preserve">1.1. Chaleur humaine</w:t>
      </w:r>
    </w:p>
    <w:p>
      <w:pPr>
        <w:pStyle w:val="ListParagraph"/>
        <w:numPr>
          <w:ilvl w:val="0"/>
          <w:numId w:val="2"/>
        </w:numPr>
        <w:spacing w:after="60" w:line="260"/>
      </w:pPr>
      <w:r>
        <w:rPr>
          <w:rFonts w:ascii="Calibri" w:cs="Calibri" w:eastAsia="Calibri" w:hAnsi="Calibri"/>
          <w:sz w:val="20"/>
          <w:szCs w:val="20"/>
        </w:rPr>
        <w:t xml:space="preserve">On accueille avec sincérité — nouveaux collaborateurs, voyageurs, partenaires.</w:t>
      </w:r>
    </w:p>
    <w:p>
      <w:pPr>
        <w:pStyle w:val="ListParagraph"/>
        <w:numPr>
          <w:ilvl w:val="0"/>
          <w:numId w:val="2"/>
        </w:numPr>
        <w:spacing w:after="60" w:line="260"/>
      </w:pPr>
      <w:r>
        <w:rPr>
          <w:rFonts w:ascii="Calibri" w:cs="Calibri" w:eastAsia="Calibri" w:hAnsi="Calibri"/>
          <w:sz w:val="20"/>
          <w:szCs w:val="20"/>
        </w:rPr>
        <w:t xml:space="preserve">On préfère le « tu » à l'« vous » (sauf contexte protocolaire).</w:t>
      </w:r>
    </w:p>
    <w:p>
      <w:pPr>
        <w:pStyle w:val="ListParagraph"/>
        <w:numPr>
          <w:ilvl w:val="0"/>
          <w:numId w:val="2"/>
        </w:numPr>
        <w:spacing w:after="60" w:line="260"/>
      </w:pPr>
      <w:r>
        <w:rPr>
          <w:rFonts w:ascii="Calibri" w:cs="Calibri" w:eastAsia="Calibri" w:hAnsi="Calibri"/>
          <w:sz w:val="20"/>
          <w:szCs w:val="20"/>
        </w:rPr>
        <w:t xml:space="preserve">On prend le temps de connaître les gens, pas juste leur fonction.</w:t>
      </w:r>
    </w:p>
    <w:p>
      <w:pPr>
        <w:pStyle w:val="ListParagraph"/>
        <w:numPr>
          <w:ilvl w:val="0"/>
          <w:numId w:val="2"/>
        </w:numPr>
        <w:spacing w:after="60" w:line="260"/>
      </w:pPr>
      <w:r>
        <w:rPr>
          <w:rFonts w:ascii="Calibri" w:cs="Calibri" w:eastAsia="Calibri" w:hAnsi="Calibri"/>
          <w:sz w:val="20"/>
          <w:szCs w:val="20"/>
        </w:rPr>
        <w:t xml:space="preserve">On célèbre les bons moments (anniversaires, succès, étapes).</w:t>
      </w:r>
    </w:p>
    <w:p>
      <w:pPr>
        <w:pStyle w:val="ListParagraph"/>
        <w:numPr>
          <w:ilvl w:val="0"/>
          <w:numId w:val="2"/>
        </w:numPr>
        <w:spacing w:after="60" w:line="260"/>
      </w:pPr>
      <w:r>
        <w:rPr>
          <w:rFonts w:ascii="Calibri" w:cs="Calibri" w:eastAsia="Calibri" w:hAnsi="Calibri"/>
          <w:sz w:val="20"/>
          <w:szCs w:val="20"/>
        </w:rPr>
        <w:t xml:space="preserve">On accompagne dans les moments difficiles.</w:t>
      </w:r>
    </w:p>
    <w:p>
      <w:pPr>
        <w:spacing w:after="100" w:before="220"/>
      </w:pPr>
      <w:r>
        <w:rPr>
          <w:rFonts w:ascii="Calibri" w:cs="Calibri" w:eastAsia="Calibri" w:hAnsi="Calibri"/>
          <w:b/>
          <w:bCs/>
          <w:color w:val="E87722"/>
          <w:sz w:val="22"/>
          <w:szCs w:val="22"/>
        </w:rPr>
        <w:t xml:space="preserve">1.2. Transparence radicale</w:t>
      </w:r>
    </w:p>
    <w:p>
      <w:pPr>
        <w:pStyle w:val="ListParagraph"/>
        <w:numPr>
          <w:ilvl w:val="0"/>
          <w:numId w:val="2"/>
        </w:numPr>
        <w:spacing w:after="60" w:line="260"/>
      </w:pPr>
      <w:r>
        <w:rPr>
          <w:rFonts w:ascii="Calibri" w:cs="Calibri" w:eastAsia="Calibri" w:hAnsi="Calibri"/>
          <w:sz w:val="20"/>
          <w:szCs w:val="20"/>
        </w:rPr>
        <w:t xml:space="preserve">On dit la vérité, même quand c'est inconfortable.</w:t>
      </w:r>
    </w:p>
    <w:p>
      <w:pPr>
        <w:pStyle w:val="ListParagraph"/>
        <w:numPr>
          <w:ilvl w:val="0"/>
          <w:numId w:val="2"/>
        </w:numPr>
        <w:spacing w:after="60" w:line="260"/>
      </w:pPr>
      <w:r>
        <w:rPr>
          <w:rFonts w:ascii="Calibri" w:cs="Calibri" w:eastAsia="Calibri" w:hAnsi="Calibri"/>
          <w:sz w:val="20"/>
          <w:szCs w:val="20"/>
        </w:rPr>
        <w:t xml:space="preserve">On partage l'information utile à chacun (refus de la rétention).</w:t>
      </w:r>
    </w:p>
    <w:p>
      <w:pPr>
        <w:pStyle w:val="ListParagraph"/>
        <w:numPr>
          <w:ilvl w:val="0"/>
          <w:numId w:val="2"/>
        </w:numPr>
        <w:spacing w:after="60" w:line="260"/>
      </w:pPr>
      <w:r>
        <w:rPr>
          <w:rFonts w:ascii="Calibri" w:cs="Calibri" w:eastAsia="Calibri" w:hAnsi="Calibri"/>
          <w:sz w:val="20"/>
          <w:szCs w:val="20"/>
        </w:rPr>
        <w:t xml:space="preserve">On reconnaît nos erreurs sans les masquer.</w:t>
      </w:r>
    </w:p>
    <w:p>
      <w:pPr>
        <w:pStyle w:val="ListParagraph"/>
        <w:numPr>
          <w:ilvl w:val="0"/>
          <w:numId w:val="2"/>
        </w:numPr>
        <w:spacing w:after="60" w:line="260"/>
      </w:pPr>
      <w:r>
        <w:rPr>
          <w:rFonts w:ascii="Calibri" w:cs="Calibri" w:eastAsia="Calibri" w:hAnsi="Calibri"/>
          <w:sz w:val="20"/>
          <w:szCs w:val="20"/>
        </w:rPr>
        <w:t xml:space="preserve">On publie les chiffres clés (cohérence Politique RSE, rapport annuel).</w:t>
      </w:r>
    </w:p>
    <w:p>
      <w:pPr>
        <w:pStyle w:val="ListParagraph"/>
        <w:numPr>
          <w:ilvl w:val="0"/>
          <w:numId w:val="2"/>
        </w:numPr>
        <w:spacing w:after="60" w:line="260"/>
      </w:pPr>
      <w:r>
        <w:rPr>
          <w:rFonts w:ascii="Calibri" w:cs="Calibri" w:eastAsia="Calibri" w:hAnsi="Calibri"/>
          <w:sz w:val="20"/>
          <w:szCs w:val="20"/>
        </w:rPr>
        <w:t xml:space="preserve">On refuse le langage corporate qui cache plutôt qu'il n'éclaire.</w:t>
      </w:r>
    </w:p>
    <w:p>
      <w:pPr>
        <w:spacing w:after="100" w:before="220"/>
      </w:pPr>
      <w:r>
        <w:rPr>
          <w:rFonts w:ascii="Calibri" w:cs="Calibri" w:eastAsia="Calibri" w:hAnsi="Calibri"/>
          <w:b/>
          <w:bCs/>
          <w:color w:val="E87722"/>
          <w:sz w:val="22"/>
          <w:szCs w:val="22"/>
        </w:rPr>
        <w:t xml:space="preserve">1.3. Refus de l'extraction</w:t>
      </w:r>
    </w:p>
    <w:p>
      <w:pPr>
        <w:pStyle w:val="ListParagraph"/>
        <w:numPr>
          <w:ilvl w:val="0"/>
          <w:numId w:val="2"/>
        </w:numPr>
        <w:spacing w:after="60" w:line="260"/>
      </w:pPr>
      <w:r>
        <w:rPr>
          <w:rFonts w:ascii="Calibri" w:cs="Calibri" w:eastAsia="Calibri" w:hAnsi="Calibri"/>
          <w:sz w:val="20"/>
          <w:szCs w:val="20"/>
        </w:rPr>
        <w:t xml:space="preserve">On ne maximise pas la marge contre les voyageurs.</w:t>
      </w:r>
    </w:p>
    <w:p>
      <w:pPr>
        <w:pStyle w:val="ListParagraph"/>
        <w:numPr>
          <w:ilvl w:val="0"/>
          <w:numId w:val="2"/>
        </w:numPr>
        <w:spacing w:after="60" w:line="260"/>
      </w:pPr>
      <w:r>
        <w:rPr>
          <w:rFonts w:ascii="Calibri" w:cs="Calibri" w:eastAsia="Calibri" w:hAnsi="Calibri"/>
          <w:sz w:val="20"/>
          <w:szCs w:val="20"/>
        </w:rPr>
        <w:t xml:space="preserve">On ne maximise pas l'attention contre les voyageurs (refus dark patterns).</w:t>
      </w:r>
    </w:p>
    <w:p>
      <w:pPr>
        <w:pStyle w:val="ListParagraph"/>
        <w:numPr>
          <w:ilvl w:val="0"/>
          <w:numId w:val="2"/>
        </w:numPr>
        <w:spacing w:after="60" w:line="260"/>
      </w:pPr>
      <w:r>
        <w:rPr>
          <w:rFonts w:ascii="Calibri" w:cs="Calibri" w:eastAsia="Calibri" w:hAnsi="Calibri"/>
          <w:sz w:val="20"/>
          <w:szCs w:val="20"/>
        </w:rPr>
        <w:t xml:space="preserve">On ne maximise pas les heures contre les collaborateurs (cohérence Charte télétravail).</w:t>
      </w:r>
    </w:p>
    <w:p>
      <w:pPr>
        <w:pStyle w:val="ListParagraph"/>
        <w:numPr>
          <w:ilvl w:val="0"/>
          <w:numId w:val="2"/>
        </w:numPr>
        <w:spacing w:after="60" w:line="260"/>
      </w:pPr>
      <w:r>
        <w:rPr>
          <w:rFonts w:ascii="Calibri" w:cs="Calibri" w:eastAsia="Calibri" w:hAnsi="Calibri"/>
          <w:sz w:val="20"/>
          <w:szCs w:val="20"/>
        </w:rPr>
        <w:t xml:space="preserve">On refuse le dumping social ou fiscal.</w:t>
      </w:r>
    </w:p>
    <w:p>
      <w:pPr>
        <w:pStyle w:val="ListParagraph"/>
        <w:numPr>
          <w:ilvl w:val="0"/>
          <w:numId w:val="2"/>
        </w:numPr>
        <w:spacing w:after="60" w:line="260"/>
      </w:pPr>
      <w:r>
        <w:rPr>
          <w:rFonts w:ascii="Calibri" w:cs="Calibri" w:eastAsia="Calibri" w:hAnsi="Calibri"/>
          <w:sz w:val="20"/>
          <w:szCs w:val="20"/>
        </w:rPr>
        <w:t xml:space="preserve">On refuse la rente extractive sur partenaires.</w:t>
      </w:r>
    </w:p>
    <w:p>
      <w:pPr>
        <w:spacing w:after="100" w:before="220"/>
      </w:pPr>
      <w:r>
        <w:rPr>
          <w:rFonts w:ascii="Calibri" w:cs="Calibri" w:eastAsia="Calibri" w:hAnsi="Calibri"/>
          <w:b/>
          <w:bCs/>
          <w:color w:val="E87722"/>
          <w:sz w:val="22"/>
          <w:szCs w:val="22"/>
        </w:rPr>
        <w:t xml:space="preserve">1.4. Sobriété et durabilité</w:t>
      </w:r>
    </w:p>
    <w:p>
      <w:pPr>
        <w:pStyle w:val="ListParagraph"/>
        <w:numPr>
          <w:ilvl w:val="0"/>
          <w:numId w:val="2"/>
        </w:numPr>
        <w:spacing w:after="60" w:line="260"/>
      </w:pPr>
      <w:r>
        <w:rPr>
          <w:rFonts w:ascii="Calibri" w:cs="Calibri" w:eastAsia="Calibri" w:hAnsi="Calibri"/>
          <w:sz w:val="20"/>
          <w:szCs w:val="20"/>
        </w:rPr>
        <w:t xml:space="preserve">On privilégie ce qui dure à ce qui brille.</w:t>
      </w:r>
    </w:p>
    <w:p>
      <w:pPr>
        <w:pStyle w:val="ListParagraph"/>
        <w:numPr>
          <w:ilvl w:val="0"/>
          <w:numId w:val="2"/>
        </w:numPr>
        <w:spacing w:after="60" w:line="260"/>
      </w:pPr>
      <w:r>
        <w:rPr>
          <w:rFonts w:ascii="Calibri" w:cs="Calibri" w:eastAsia="Calibri" w:hAnsi="Calibri"/>
          <w:sz w:val="20"/>
          <w:szCs w:val="20"/>
        </w:rPr>
        <w:t xml:space="preserve">On refuse la sur-consommation et le gaspillage.</w:t>
      </w:r>
    </w:p>
    <w:p>
      <w:pPr>
        <w:pStyle w:val="ListParagraph"/>
        <w:numPr>
          <w:ilvl w:val="0"/>
          <w:numId w:val="2"/>
        </w:numPr>
        <w:spacing w:after="60" w:line="260"/>
      </w:pPr>
      <w:r>
        <w:rPr>
          <w:rFonts w:ascii="Calibri" w:cs="Calibri" w:eastAsia="Calibri" w:hAnsi="Calibri"/>
          <w:sz w:val="20"/>
          <w:szCs w:val="20"/>
        </w:rPr>
        <w:t xml:space="preserve">On adopte des outils sobres (cohérence Roadmap technique, refus tout-IA).</w:t>
      </w:r>
    </w:p>
    <w:p>
      <w:pPr>
        <w:pStyle w:val="ListParagraph"/>
        <w:numPr>
          <w:ilvl w:val="0"/>
          <w:numId w:val="2"/>
        </w:numPr>
        <w:spacing w:after="60" w:line="260"/>
      </w:pPr>
      <w:r>
        <w:rPr>
          <w:rFonts w:ascii="Calibri" w:cs="Calibri" w:eastAsia="Calibri" w:hAnsi="Calibri"/>
          <w:sz w:val="20"/>
          <w:szCs w:val="20"/>
        </w:rPr>
        <w:t xml:space="preserve">On engage notre empreinte carbone (cohérence Charte engagement carbone).</w:t>
      </w:r>
    </w:p>
    <w:p>
      <w:pPr>
        <w:pStyle w:val="ListParagraph"/>
        <w:numPr>
          <w:ilvl w:val="0"/>
          <w:numId w:val="2"/>
        </w:numPr>
        <w:spacing w:after="60" w:line="260"/>
      </w:pPr>
      <w:r>
        <w:rPr>
          <w:rFonts w:ascii="Calibri" w:cs="Calibri" w:eastAsia="Calibri" w:hAnsi="Calibri"/>
          <w:sz w:val="20"/>
          <w:szCs w:val="20"/>
        </w:rPr>
        <w:t xml:space="preserve">On préfère l'utile au bling.</w:t>
      </w:r>
    </w:p>
    <w:p>
      <w:pPr>
        <w:spacing w:after="100" w:before="220"/>
      </w:pPr>
      <w:r>
        <w:rPr>
          <w:rFonts w:ascii="Calibri" w:cs="Calibri" w:eastAsia="Calibri" w:hAnsi="Calibri"/>
          <w:b/>
          <w:bCs/>
          <w:color w:val="E87722"/>
          <w:sz w:val="22"/>
          <w:szCs w:val="22"/>
        </w:rPr>
        <w:t xml:space="preserve">1.5. Apprentissage et humilité</w:t>
      </w:r>
    </w:p>
    <w:p>
      <w:pPr>
        <w:pStyle w:val="ListParagraph"/>
        <w:numPr>
          <w:ilvl w:val="0"/>
          <w:numId w:val="2"/>
        </w:numPr>
        <w:spacing w:after="60" w:line="260"/>
      </w:pPr>
      <w:r>
        <w:rPr>
          <w:rFonts w:ascii="Calibri" w:cs="Calibri" w:eastAsia="Calibri" w:hAnsi="Calibri"/>
          <w:sz w:val="20"/>
          <w:szCs w:val="20"/>
        </w:rPr>
        <w:t xml:space="preserve">On reconnaît qu'on ne sait pas tout.</w:t>
      </w:r>
    </w:p>
    <w:p>
      <w:pPr>
        <w:pStyle w:val="ListParagraph"/>
        <w:numPr>
          <w:ilvl w:val="0"/>
          <w:numId w:val="2"/>
        </w:numPr>
        <w:spacing w:after="60" w:line="260"/>
      </w:pPr>
      <w:r>
        <w:rPr>
          <w:rFonts w:ascii="Calibri" w:cs="Calibri" w:eastAsia="Calibri" w:hAnsi="Calibri"/>
          <w:sz w:val="20"/>
          <w:szCs w:val="20"/>
        </w:rPr>
        <w:t xml:space="preserve">On apprend des erreurs (cohérence Procédure d'amélioration continue).</w:t>
      </w:r>
    </w:p>
    <w:p>
      <w:pPr>
        <w:pStyle w:val="ListParagraph"/>
        <w:numPr>
          <w:ilvl w:val="0"/>
          <w:numId w:val="2"/>
        </w:numPr>
        <w:spacing w:after="60" w:line="260"/>
      </w:pPr>
      <w:r>
        <w:rPr>
          <w:rFonts w:ascii="Calibri" w:cs="Calibri" w:eastAsia="Calibri" w:hAnsi="Calibri"/>
          <w:sz w:val="20"/>
          <w:szCs w:val="20"/>
        </w:rPr>
        <w:t xml:space="preserve">On accueille les retours, même critiques.</w:t>
      </w:r>
    </w:p>
    <w:p>
      <w:pPr>
        <w:pStyle w:val="ListParagraph"/>
        <w:numPr>
          <w:ilvl w:val="0"/>
          <w:numId w:val="2"/>
        </w:numPr>
        <w:spacing w:after="60" w:line="260"/>
      </w:pPr>
      <w:r>
        <w:rPr>
          <w:rFonts w:ascii="Calibri" w:cs="Calibri" w:eastAsia="Calibri" w:hAnsi="Calibri"/>
          <w:sz w:val="20"/>
          <w:szCs w:val="20"/>
        </w:rPr>
        <w:t xml:space="preserve">On forme et on se forme (cohérence Plan de formation interne).</w:t>
      </w:r>
    </w:p>
    <w:p>
      <w:pPr>
        <w:pStyle w:val="ListParagraph"/>
        <w:numPr>
          <w:ilvl w:val="0"/>
          <w:numId w:val="2"/>
        </w:numPr>
        <w:spacing w:after="60" w:line="260"/>
      </w:pPr>
      <w:r>
        <w:rPr>
          <w:rFonts w:ascii="Calibri" w:cs="Calibri" w:eastAsia="Calibri" w:hAnsi="Calibri"/>
          <w:sz w:val="20"/>
          <w:szCs w:val="20"/>
        </w:rPr>
        <w:t xml:space="preserve">On refuse le « j'ai toujours raison ».</w:t>
      </w:r>
    </w:p>
    <w:p>
      <w:pPr>
        <w:spacing w:after="160" w:before="240"/>
      </w:pPr>
      <w:r>
        <w:rPr>
          <w:rFonts w:ascii="Calibri" w:cs="Calibri" w:eastAsia="Calibri" w:hAnsi="Calibri"/>
          <w:b/>
          <w:bCs/>
          <w:color w:val="1F4E79"/>
          <w:sz w:val="32"/>
          <w:szCs w:val="32"/>
        </w:rPr>
        <w:t xml:space="preserve">2. Code de conduite individuel</w:t>
      </w:r>
    </w:p>
    <w:p>
      <w:pPr>
        <w:spacing w:after="100" w:before="220"/>
      </w:pPr>
      <w:r>
        <w:rPr>
          <w:rFonts w:ascii="Calibri" w:cs="Calibri" w:eastAsia="Calibri" w:hAnsi="Calibri"/>
          <w:b/>
          <w:bCs/>
          <w:color w:val="E87722"/>
          <w:sz w:val="22"/>
          <w:szCs w:val="22"/>
        </w:rPr>
        <w:t xml:space="preserve">2.1. Vis-à-vis des voyageurs</w:t>
      </w:r>
    </w:p>
    <w:p>
      <w:pPr>
        <w:pStyle w:val="ListParagraph"/>
        <w:numPr>
          <w:ilvl w:val="0"/>
          <w:numId w:val="2"/>
        </w:numPr>
        <w:spacing w:after="60" w:line="260"/>
      </w:pPr>
      <w:r>
        <w:rPr>
          <w:rFonts w:ascii="Calibri" w:cs="Calibri" w:eastAsia="Calibri" w:hAnsi="Calibri"/>
          <w:sz w:val="20"/>
          <w:szCs w:val="20"/>
        </w:rPr>
        <w:t xml:space="preserve">Considérer chaque voyageur comme une personne, pas un dossier.</w:t>
      </w:r>
    </w:p>
    <w:p>
      <w:pPr>
        <w:pStyle w:val="ListParagraph"/>
        <w:numPr>
          <w:ilvl w:val="0"/>
          <w:numId w:val="2"/>
        </w:numPr>
        <w:spacing w:after="60" w:line="260"/>
      </w:pPr>
      <w:r>
        <w:rPr>
          <w:rFonts w:ascii="Calibri" w:cs="Calibri" w:eastAsia="Calibri" w:hAnsi="Calibri"/>
          <w:sz w:val="20"/>
          <w:szCs w:val="20"/>
        </w:rPr>
        <w:t xml:space="preserve">Respect absolu de la diversité (cohérence Charte d'inclusion et diversité).</w:t>
      </w:r>
    </w:p>
    <w:p>
      <w:pPr>
        <w:pStyle w:val="ListParagraph"/>
        <w:numPr>
          <w:ilvl w:val="0"/>
          <w:numId w:val="2"/>
        </w:numPr>
        <w:spacing w:after="60" w:line="260"/>
      </w:pPr>
      <w:r>
        <w:rPr>
          <w:rFonts w:ascii="Calibri" w:cs="Calibri" w:eastAsia="Calibri" w:hAnsi="Calibri"/>
          <w:sz w:val="20"/>
          <w:szCs w:val="20"/>
        </w:rPr>
        <w:t xml:space="preserve">Confidentialité des informations partagées (cohérence Politique RGPD).</w:t>
      </w:r>
    </w:p>
    <w:p>
      <w:pPr>
        <w:pStyle w:val="ListParagraph"/>
        <w:numPr>
          <w:ilvl w:val="0"/>
          <w:numId w:val="2"/>
        </w:numPr>
        <w:spacing w:after="60" w:line="260"/>
      </w:pPr>
      <w:r>
        <w:rPr>
          <w:rFonts w:ascii="Calibri" w:cs="Calibri" w:eastAsia="Calibri" w:hAnsi="Calibri"/>
          <w:sz w:val="20"/>
          <w:szCs w:val="20"/>
        </w:rPr>
        <w:t xml:space="preserve">Disponibilité raisonnée (cohérence Politique support multicanal).</w:t>
      </w:r>
    </w:p>
    <w:p>
      <w:pPr>
        <w:pStyle w:val="ListParagraph"/>
        <w:numPr>
          <w:ilvl w:val="0"/>
          <w:numId w:val="2"/>
        </w:numPr>
        <w:spacing w:after="60" w:line="260"/>
      </w:pPr>
      <w:r>
        <w:rPr>
          <w:rFonts w:ascii="Calibri" w:cs="Calibri" w:eastAsia="Calibri" w:hAnsi="Calibri"/>
          <w:sz w:val="20"/>
          <w:szCs w:val="20"/>
        </w:rPr>
        <w:t xml:space="preserve">Refus de toute pratique commerciale manipulatrice (cohérence Charte commerciale).</w:t>
      </w:r>
    </w:p>
    <w:p>
      <w:pPr>
        <w:spacing w:after="100" w:before="220"/>
      </w:pPr>
      <w:r>
        <w:rPr>
          <w:rFonts w:ascii="Calibri" w:cs="Calibri" w:eastAsia="Calibri" w:hAnsi="Calibri"/>
          <w:b/>
          <w:bCs/>
          <w:color w:val="E87722"/>
          <w:sz w:val="22"/>
          <w:szCs w:val="22"/>
        </w:rPr>
        <w:t xml:space="preserve">2.2. Vis-à-vis de l'équipe</w:t>
      </w:r>
    </w:p>
    <w:p>
      <w:pPr>
        <w:pStyle w:val="ListParagraph"/>
        <w:numPr>
          <w:ilvl w:val="0"/>
          <w:numId w:val="2"/>
        </w:numPr>
        <w:spacing w:after="60" w:line="260"/>
      </w:pPr>
      <w:r>
        <w:rPr>
          <w:rFonts w:ascii="Calibri" w:cs="Calibri" w:eastAsia="Calibri" w:hAnsi="Calibri"/>
          <w:sz w:val="20"/>
          <w:szCs w:val="20"/>
        </w:rPr>
        <w:t xml:space="preserve">Refus du dénigrement entre collègues.</w:t>
      </w:r>
    </w:p>
    <w:p>
      <w:pPr>
        <w:pStyle w:val="ListParagraph"/>
        <w:numPr>
          <w:ilvl w:val="0"/>
          <w:numId w:val="2"/>
        </w:numPr>
        <w:spacing w:after="60" w:line="260"/>
      </w:pPr>
      <w:r>
        <w:rPr>
          <w:rFonts w:ascii="Calibri" w:cs="Calibri" w:eastAsia="Calibri" w:hAnsi="Calibri"/>
          <w:sz w:val="20"/>
          <w:szCs w:val="20"/>
        </w:rPr>
        <w:t xml:space="preserve">Refus du favoritisme et du copinage opaque.</w:t>
      </w:r>
    </w:p>
    <w:p>
      <w:pPr>
        <w:pStyle w:val="ListParagraph"/>
        <w:numPr>
          <w:ilvl w:val="0"/>
          <w:numId w:val="2"/>
        </w:numPr>
        <w:spacing w:after="60" w:line="260"/>
      </w:pPr>
      <w:r>
        <w:rPr>
          <w:rFonts w:ascii="Calibri" w:cs="Calibri" w:eastAsia="Calibri" w:hAnsi="Calibri"/>
          <w:sz w:val="20"/>
          <w:szCs w:val="20"/>
        </w:rPr>
        <w:t xml:space="preserve">Soutien des collègues en difficulté.</w:t>
      </w:r>
    </w:p>
    <w:p>
      <w:pPr>
        <w:pStyle w:val="ListParagraph"/>
        <w:numPr>
          <w:ilvl w:val="0"/>
          <w:numId w:val="2"/>
        </w:numPr>
        <w:spacing w:after="60" w:line="260"/>
      </w:pPr>
      <w:r>
        <w:rPr>
          <w:rFonts w:ascii="Calibri" w:cs="Calibri" w:eastAsia="Calibri" w:hAnsi="Calibri"/>
          <w:sz w:val="20"/>
          <w:szCs w:val="20"/>
        </w:rPr>
        <w:t xml:space="preserve">Reconnaissance des contributions de chacun.</w:t>
      </w:r>
    </w:p>
    <w:p>
      <w:pPr>
        <w:pStyle w:val="ListParagraph"/>
        <w:numPr>
          <w:ilvl w:val="0"/>
          <w:numId w:val="2"/>
        </w:numPr>
        <w:spacing w:after="60" w:line="260"/>
      </w:pPr>
      <w:r>
        <w:rPr>
          <w:rFonts w:ascii="Calibri" w:cs="Calibri" w:eastAsia="Calibri" w:hAnsi="Calibri"/>
          <w:sz w:val="20"/>
          <w:szCs w:val="20"/>
        </w:rPr>
        <w:t xml:space="preserve">Refus du harcèlement, des micro-agressions, des comportements toxiques.</w:t>
      </w:r>
    </w:p>
    <w:p>
      <w:pPr>
        <w:spacing w:after="100" w:before="220"/>
      </w:pPr>
      <w:r>
        <w:rPr>
          <w:rFonts w:ascii="Calibri" w:cs="Calibri" w:eastAsia="Calibri" w:hAnsi="Calibri"/>
          <w:b/>
          <w:bCs/>
          <w:color w:val="E87722"/>
          <w:sz w:val="22"/>
          <w:szCs w:val="22"/>
        </w:rPr>
        <w:t xml:space="preserve">2.3. Vis-à-vis des partenaires</w:t>
      </w:r>
    </w:p>
    <w:p>
      <w:pPr>
        <w:pStyle w:val="ListParagraph"/>
        <w:numPr>
          <w:ilvl w:val="0"/>
          <w:numId w:val="2"/>
        </w:numPr>
        <w:spacing w:after="60" w:line="260"/>
      </w:pPr>
      <w:r>
        <w:rPr>
          <w:rFonts w:ascii="Calibri" w:cs="Calibri" w:eastAsia="Calibri" w:hAnsi="Calibri"/>
          <w:sz w:val="20"/>
          <w:szCs w:val="20"/>
        </w:rPr>
        <w:t xml:space="preserve">Égalité de traitement entre partenaires (HRA, créateurs, vendeurs, ambassadeurs).</w:t>
      </w:r>
    </w:p>
    <w:p>
      <w:pPr>
        <w:pStyle w:val="ListParagraph"/>
        <w:numPr>
          <w:ilvl w:val="0"/>
          <w:numId w:val="2"/>
        </w:numPr>
        <w:spacing w:after="60" w:line="260"/>
      </w:pPr>
      <w:r>
        <w:rPr>
          <w:rFonts w:ascii="Calibri" w:cs="Calibri" w:eastAsia="Calibri" w:hAnsi="Calibri"/>
          <w:sz w:val="20"/>
          <w:szCs w:val="20"/>
        </w:rPr>
        <w:t xml:space="preserve">Confidentialité des informations sensibles.</w:t>
      </w:r>
    </w:p>
    <w:p>
      <w:pPr>
        <w:pStyle w:val="ListParagraph"/>
        <w:numPr>
          <w:ilvl w:val="0"/>
          <w:numId w:val="2"/>
        </w:numPr>
        <w:spacing w:after="60" w:line="260"/>
      </w:pPr>
      <w:r>
        <w:rPr>
          <w:rFonts w:ascii="Calibri" w:cs="Calibri" w:eastAsia="Calibri" w:hAnsi="Calibri"/>
          <w:sz w:val="20"/>
          <w:szCs w:val="20"/>
        </w:rPr>
        <w:t xml:space="preserve">Refus du conflit d'intérêts non déclaré (cohérence Politique conflits d'intérêts).</w:t>
      </w:r>
    </w:p>
    <w:p>
      <w:pPr>
        <w:pStyle w:val="ListParagraph"/>
        <w:numPr>
          <w:ilvl w:val="0"/>
          <w:numId w:val="2"/>
        </w:numPr>
        <w:spacing w:after="60" w:line="260"/>
      </w:pPr>
      <w:r>
        <w:rPr>
          <w:rFonts w:ascii="Calibri" w:cs="Calibri" w:eastAsia="Calibri" w:hAnsi="Calibri"/>
          <w:sz w:val="20"/>
          <w:szCs w:val="20"/>
        </w:rPr>
        <w:t xml:space="preserve">Refus de tout pot-de-vin ou cadeau inapproprié (cohérence Politique anti-corruption).</w:t>
      </w:r>
    </w:p>
    <w:p>
      <w:pPr>
        <w:pStyle w:val="ListParagraph"/>
        <w:numPr>
          <w:ilvl w:val="0"/>
          <w:numId w:val="2"/>
        </w:numPr>
        <w:spacing w:after="60" w:line="260"/>
      </w:pPr>
      <w:r>
        <w:rPr>
          <w:rFonts w:ascii="Calibri" w:cs="Calibri" w:eastAsia="Calibri" w:hAnsi="Calibri"/>
          <w:sz w:val="20"/>
          <w:szCs w:val="20"/>
        </w:rPr>
        <w:t xml:space="preserve">Paiement juste et à temps.</w:t>
      </w:r>
    </w:p>
    <w:p>
      <w:pPr>
        <w:spacing w:after="100" w:before="220"/>
      </w:pPr>
      <w:r>
        <w:rPr>
          <w:rFonts w:ascii="Calibri" w:cs="Calibri" w:eastAsia="Calibri" w:hAnsi="Calibri"/>
          <w:b/>
          <w:bCs/>
          <w:color w:val="E87722"/>
          <w:sz w:val="22"/>
          <w:szCs w:val="22"/>
        </w:rPr>
        <w:t xml:space="preserve">2.4. Vis-à-vis de l'entreprise</w:t>
      </w:r>
    </w:p>
    <w:p>
      <w:pPr>
        <w:pStyle w:val="ListParagraph"/>
        <w:numPr>
          <w:ilvl w:val="0"/>
          <w:numId w:val="2"/>
        </w:numPr>
        <w:spacing w:after="60" w:line="260"/>
      </w:pPr>
      <w:r>
        <w:rPr>
          <w:rFonts w:ascii="Calibri" w:cs="Calibri" w:eastAsia="Calibri" w:hAnsi="Calibri"/>
          <w:sz w:val="20"/>
          <w:szCs w:val="20"/>
        </w:rPr>
        <w:t xml:space="preserve">Loyauté (refus de la concurrence cachée).</w:t>
      </w:r>
    </w:p>
    <w:p>
      <w:pPr>
        <w:pStyle w:val="ListParagraph"/>
        <w:numPr>
          <w:ilvl w:val="0"/>
          <w:numId w:val="2"/>
        </w:numPr>
        <w:spacing w:after="60" w:line="260"/>
      </w:pPr>
      <w:r>
        <w:rPr>
          <w:rFonts w:ascii="Calibri" w:cs="Calibri" w:eastAsia="Calibri" w:hAnsi="Calibri"/>
          <w:sz w:val="20"/>
          <w:szCs w:val="20"/>
        </w:rPr>
        <w:t xml:space="preserve">Confidentialité des secrets d'affaires.</w:t>
      </w:r>
    </w:p>
    <w:p>
      <w:pPr>
        <w:pStyle w:val="ListParagraph"/>
        <w:numPr>
          <w:ilvl w:val="0"/>
          <w:numId w:val="2"/>
        </w:numPr>
        <w:spacing w:after="60" w:line="260"/>
      </w:pPr>
      <w:r>
        <w:rPr>
          <w:rFonts w:ascii="Calibri" w:cs="Calibri" w:eastAsia="Calibri" w:hAnsi="Calibri"/>
          <w:sz w:val="20"/>
          <w:szCs w:val="20"/>
        </w:rPr>
        <w:t xml:space="preserve">Bon usage des ressources (cohérence Politique notes de frais).</w:t>
      </w:r>
    </w:p>
    <w:p>
      <w:pPr>
        <w:pStyle w:val="ListParagraph"/>
        <w:numPr>
          <w:ilvl w:val="0"/>
          <w:numId w:val="2"/>
        </w:numPr>
        <w:spacing w:after="60" w:line="260"/>
      </w:pPr>
      <w:r>
        <w:rPr>
          <w:rFonts w:ascii="Calibri" w:cs="Calibri" w:eastAsia="Calibri" w:hAnsi="Calibri"/>
          <w:sz w:val="20"/>
          <w:szCs w:val="20"/>
        </w:rPr>
        <w:t xml:space="preserve">Engagement à signaler tout manquement éthique observé (cohérence Procédure de signalement).</w:t>
      </w:r>
    </w:p>
    <w:p>
      <w:pPr>
        <w:pStyle w:val="ListParagraph"/>
        <w:numPr>
          <w:ilvl w:val="0"/>
          <w:numId w:val="2"/>
        </w:numPr>
        <w:spacing w:after="60" w:line="260"/>
      </w:pPr>
      <w:r>
        <w:rPr>
          <w:rFonts w:ascii="Calibri" w:cs="Calibri" w:eastAsia="Calibri" w:hAnsi="Calibri"/>
          <w:sz w:val="20"/>
          <w:szCs w:val="20"/>
        </w:rPr>
        <w:t xml:space="preserve">Représentation honorable d'Eventy à l'extérieur.</w:t>
      </w:r>
    </w:p>
    <w:p>
      <w:pPr>
        <w:spacing w:after="160" w:before="240"/>
      </w:pPr>
      <w:r>
        <w:rPr>
          <w:rFonts w:ascii="Calibri" w:cs="Calibri" w:eastAsia="Calibri" w:hAnsi="Calibri"/>
          <w:b/>
          <w:bCs/>
          <w:color w:val="1F4E79"/>
          <w:sz w:val="32"/>
          <w:szCs w:val="32"/>
        </w:rPr>
        <w:t xml:space="preserve">3. Engagements forts opposables</w:t>
      </w:r>
    </w:p>
    <w:p>
      <w:pPr>
        <w:spacing w:after="100" w:before="220"/>
      </w:pPr>
      <w:r>
        <w:rPr>
          <w:rFonts w:ascii="Calibri" w:cs="Calibri" w:eastAsia="Calibri" w:hAnsi="Calibri"/>
          <w:b/>
          <w:bCs/>
          <w:color w:val="E87722"/>
          <w:sz w:val="22"/>
          <w:szCs w:val="22"/>
        </w:rPr>
        <w:t xml:space="preserve">3.1. Refus structurés (interdits)</w:t>
      </w:r>
    </w:p>
    <w:p>
      <w:pPr>
        <w:pStyle w:val="ListParagraph"/>
        <w:numPr>
          <w:ilvl w:val="0"/>
          <w:numId w:val="2"/>
        </w:numPr>
        <w:spacing w:after="60" w:line="260"/>
      </w:pPr>
      <w:r>
        <w:rPr>
          <w:rFonts w:ascii="Calibri" w:cs="Calibri" w:eastAsia="Calibri" w:hAnsi="Calibri"/>
          <w:sz w:val="20"/>
          <w:szCs w:val="20"/>
        </w:rPr>
        <w:t xml:space="preserve">Refus du harcèlement sexuel ou moral (sanction immédiate).</w:t>
      </w:r>
    </w:p>
    <w:p>
      <w:pPr>
        <w:pStyle w:val="ListParagraph"/>
        <w:numPr>
          <w:ilvl w:val="0"/>
          <w:numId w:val="2"/>
        </w:numPr>
        <w:spacing w:after="60" w:line="260"/>
      </w:pPr>
      <w:r>
        <w:rPr>
          <w:rFonts w:ascii="Calibri" w:cs="Calibri" w:eastAsia="Calibri" w:hAnsi="Calibri"/>
          <w:sz w:val="20"/>
          <w:szCs w:val="20"/>
        </w:rPr>
        <w:t xml:space="preserve">Refus de la discrimination sur les 25 critères (cohérence Charte d'inclusion).</w:t>
      </w:r>
    </w:p>
    <w:p>
      <w:pPr>
        <w:pStyle w:val="ListParagraph"/>
        <w:numPr>
          <w:ilvl w:val="0"/>
          <w:numId w:val="2"/>
        </w:numPr>
        <w:spacing w:after="60" w:line="260"/>
      </w:pPr>
      <w:r>
        <w:rPr>
          <w:rFonts w:ascii="Calibri" w:cs="Calibri" w:eastAsia="Calibri" w:hAnsi="Calibri"/>
          <w:sz w:val="20"/>
          <w:szCs w:val="20"/>
        </w:rPr>
        <w:t xml:space="preserve">Refus de la fraude (notes de frais, comptabilité, etc.).</w:t>
      </w:r>
    </w:p>
    <w:p>
      <w:pPr>
        <w:pStyle w:val="ListParagraph"/>
        <w:numPr>
          <w:ilvl w:val="0"/>
          <w:numId w:val="2"/>
        </w:numPr>
        <w:spacing w:after="60" w:line="260"/>
      </w:pPr>
      <w:r>
        <w:rPr>
          <w:rFonts w:ascii="Calibri" w:cs="Calibri" w:eastAsia="Calibri" w:hAnsi="Calibri"/>
          <w:sz w:val="20"/>
          <w:szCs w:val="20"/>
        </w:rPr>
        <w:t xml:space="preserve">Refus de la corruption sous toute forme.</w:t>
      </w:r>
    </w:p>
    <w:p>
      <w:pPr>
        <w:pStyle w:val="ListParagraph"/>
        <w:numPr>
          <w:ilvl w:val="0"/>
          <w:numId w:val="2"/>
        </w:numPr>
        <w:spacing w:after="60" w:line="260"/>
      </w:pPr>
      <w:r>
        <w:rPr>
          <w:rFonts w:ascii="Calibri" w:cs="Calibri" w:eastAsia="Calibri" w:hAnsi="Calibri"/>
          <w:sz w:val="20"/>
          <w:szCs w:val="20"/>
        </w:rPr>
        <w:t xml:space="preserve">Refus de la divulgation de secrets d'affaires.</w:t>
      </w:r>
    </w:p>
    <w:p>
      <w:pPr>
        <w:pStyle w:val="ListParagraph"/>
        <w:numPr>
          <w:ilvl w:val="0"/>
          <w:numId w:val="2"/>
        </w:numPr>
        <w:spacing w:after="60" w:line="260"/>
      </w:pPr>
      <w:r>
        <w:rPr>
          <w:rFonts w:ascii="Calibri" w:cs="Calibri" w:eastAsia="Calibri" w:hAnsi="Calibri"/>
          <w:sz w:val="20"/>
          <w:szCs w:val="20"/>
        </w:rPr>
        <w:t xml:space="preserve">Refus de la consommation de drogues ou alcool excessif au travail.</w:t>
      </w:r>
    </w:p>
    <w:p>
      <w:pPr>
        <w:pStyle w:val="ListParagraph"/>
        <w:numPr>
          <w:ilvl w:val="0"/>
          <w:numId w:val="2"/>
        </w:numPr>
        <w:spacing w:after="60" w:line="260"/>
      </w:pPr>
      <w:r>
        <w:rPr>
          <w:rFonts w:ascii="Calibri" w:cs="Calibri" w:eastAsia="Calibri" w:hAnsi="Calibri"/>
          <w:sz w:val="20"/>
          <w:szCs w:val="20"/>
        </w:rPr>
        <w:t xml:space="preserve">Refus de la mise en danger des voyageurs ou collègues.</w:t>
      </w:r>
    </w:p>
    <w:p>
      <w:pPr>
        <w:spacing w:after="100" w:before="220"/>
      </w:pPr>
      <w:r>
        <w:rPr>
          <w:rFonts w:ascii="Calibri" w:cs="Calibri" w:eastAsia="Calibri" w:hAnsi="Calibri"/>
          <w:b/>
          <w:bCs/>
          <w:color w:val="E87722"/>
          <w:sz w:val="22"/>
          <w:szCs w:val="22"/>
        </w:rPr>
        <w:t xml:space="preserve">3.2. Engagements positifs</w:t>
      </w:r>
    </w:p>
    <w:p>
      <w:pPr>
        <w:pStyle w:val="ListParagraph"/>
        <w:numPr>
          <w:ilvl w:val="0"/>
          <w:numId w:val="2"/>
        </w:numPr>
        <w:spacing w:after="60" w:line="260"/>
      </w:pPr>
      <w:r>
        <w:rPr>
          <w:rFonts w:ascii="Calibri" w:cs="Calibri" w:eastAsia="Calibri" w:hAnsi="Calibri"/>
          <w:sz w:val="20"/>
          <w:szCs w:val="20"/>
        </w:rPr>
        <w:t xml:space="preserve">Refuser l'inacceptable (signalement systématique).</w:t>
      </w:r>
    </w:p>
    <w:p>
      <w:pPr>
        <w:pStyle w:val="ListParagraph"/>
        <w:numPr>
          <w:ilvl w:val="0"/>
          <w:numId w:val="2"/>
        </w:numPr>
        <w:spacing w:after="60" w:line="260"/>
      </w:pPr>
      <w:r>
        <w:rPr>
          <w:rFonts w:ascii="Calibri" w:cs="Calibri" w:eastAsia="Calibri" w:hAnsi="Calibri"/>
          <w:sz w:val="20"/>
          <w:szCs w:val="20"/>
        </w:rPr>
        <w:t xml:space="preserve">Soutenir la diversité activement.</w:t>
      </w:r>
    </w:p>
    <w:p>
      <w:pPr>
        <w:pStyle w:val="ListParagraph"/>
        <w:numPr>
          <w:ilvl w:val="0"/>
          <w:numId w:val="2"/>
        </w:numPr>
        <w:spacing w:after="60" w:line="260"/>
      </w:pPr>
      <w:r>
        <w:rPr>
          <w:rFonts w:ascii="Calibri" w:cs="Calibri" w:eastAsia="Calibri" w:hAnsi="Calibri"/>
          <w:sz w:val="20"/>
          <w:szCs w:val="20"/>
        </w:rPr>
        <w:t xml:space="preserve">Maintenir la qualité même sous pression.</w:t>
      </w:r>
    </w:p>
    <w:p>
      <w:pPr>
        <w:pStyle w:val="ListParagraph"/>
        <w:numPr>
          <w:ilvl w:val="0"/>
          <w:numId w:val="2"/>
        </w:numPr>
        <w:spacing w:after="60" w:line="260"/>
      </w:pPr>
      <w:r>
        <w:rPr>
          <w:rFonts w:ascii="Calibri" w:cs="Calibri" w:eastAsia="Calibri" w:hAnsi="Calibri"/>
          <w:sz w:val="20"/>
          <w:szCs w:val="20"/>
        </w:rPr>
        <w:t xml:space="preserve">Préserver la sécurité voyageur en toutes circonstances.</w:t>
      </w:r>
    </w:p>
    <w:p>
      <w:pPr>
        <w:pStyle w:val="ListParagraph"/>
        <w:numPr>
          <w:ilvl w:val="0"/>
          <w:numId w:val="2"/>
        </w:numPr>
        <w:spacing w:after="60" w:line="260"/>
      </w:pPr>
      <w:r>
        <w:rPr>
          <w:rFonts w:ascii="Calibri" w:cs="Calibri" w:eastAsia="Calibri" w:hAnsi="Calibri"/>
          <w:sz w:val="20"/>
          <w:szCs w:val="20"/>
        </w:rPr>
        <w:t xml:space="preserve">Protéger la confidentialité des données voyageurs (cohérence Politique RGPD).</w:t>
      </w:r>
    </w:p>
    <w:p>
      <w:pPr>
        <w:spacing w:after="160" w:before="240"/>
      </w:pPr>
      <w:r>
        <w:rPr>
          <w:rFonts w:ascii="Calibri" w:cs="Calibri" w:eastAsia="Calibri" w:hAnsi="Calibri"/>
          <w:b/>
          <w:bCs/>
          <w:color w:val="1F4E79"/>
          <w:sz w:val="32"/>
          <w:szCs w:val="32"/>
        </w:rPr>
        <w:t xml:space="preserve">4. Vie d'équipe</w:t>
      </w:r>
    </w:p>
    <w:p>
      <w:pPr>
        <w:spacing w:after="100" w:before="220"/>
      </w:pPr>
      <w:r>
        <w:rPr>
          <w:rFonts w:ascii="Calibri" w:cs="Calibri" w:eastAsia="Calibri" w:hAnsi="Calibri"/>
          <w:b/>
          <w:bCs/>
          <w:color w:val="E87722"/>
          <w:sz w:val="22"/>
          <w:szCs w:val="22"/>
        </w:rPr>
        <w:t xml:space="preserve">4.1. Rituels (cohérence Plan de communication interne)</w:t>
      </w:r>
    </w:p>
    <w:p>
      <w:pPr>
        <w:pStyle w:val="ListParagraph"/>
        <w:numPr>
          <w:ilvl w:val="0"/>
          <w:numId w:val="2"/>
        </w:numPr>
        <w:spacing w:after="60" w:line="260"/>
      </w:pPr>
      <w:r>
        <w:rPr>
          <w:rFonts w:ascii="Calibri" w:cs="Calibri" w:eastAsia="Calibri" w:hAnsi="Calibri"/>
          <w:sz w:val="20"/>
          <w:szCs w:val="20"/>
        </w:rPr>
        <w:t xml:space="preserve">Mardi de l'équipe — moment hebdomadaire commun.</w:t>
      </w:r>
    </w:p>
    <w:p>
      <w:pPr>
        <w:pStyle w:val="ListParagraph"/>
        <w:numPr>
          <w:ilvl w:val="0"/>
          <w:numId w:val="2"/>
        </w:numPr>
        <w:spacing w:after="60" w:line="260"/>
      </w:pPr>
      <w:r>
        <w:rPr>
          <w:rFonts w:ascii="Calibri" w:cs="Calibri" w:eastAsia="Calibri" w:hAnsi="Calibri"/>
          <w:sz w:val="20"/>
          <w:szCs w:val="20"/>
        </w:rPr>
        <w:t xml:space="preserve">Café du jeudi — sujets libres.</w:t>
      </w:r>
    </w:p>
    <w:p>
      <w:pPr>
        <w:pStyle w:val="ListParagraph"/>
        <w:numPr>
          <w:ilvl w:val="0"/>
          <w:numId w:val="2"/>
        </w:numPr>
        <w:spacing w:after="60" w:line="260"/>
      </w:pPr>
      <w:r>
        <w:rPr>
          <w:rFonts w:ascii="Calibri" w:cs="Calibri" w:eastAsia="Calibri" w:hAnsi="Calibri"/>
          <w:sz w:val="20"/>
          <w:szCs w:val="20"/>
        </w:rPr>
        <w:t xml:space="preserve">Démo vendredi — célébrer ce qui a été livré.</w:t>
      </w:r>
    </w:p>
    <w:p>
      <w:pPr>
        <w:pStyle w:val="ListParagraph"/>
        <w:numPr>
          <w:ilvl w:val="0"/>
          <w:numId w:val="2"/>
        </w:numPr>
        <w:spacing w:after="60" w:line="260"/>
      </w:pPr>
      <w:r>
        <w:rPr>
          <w:rFonts w:ascii="Calibri" w:cs="Calibri" w:eastAsia="Calibri" w:hAnsi="Calibri"/>
          <w:sz w:val="20"/>
          <w:szCs w:val="20"/>
        </w:rPr>
        <w:t xml:space="preserve">Anniversaires d'embauche.</w:t>
      </w:r>
    </w:p>
    <w:p>
      <w:pPr>
        <w:pStyle w:val="ListParagraph"/>
        <w:numPr>
          <w:ilvl w:val="0"/>
          <w:numId w:val="2"/>
        </w:numPr>
        <w:spacing w:after="60" w:line="260"/>
      </w:pPr>
      <w:r>
        <w:rPr>
          <w:rFonts w:ascii="Calibri" w:cs="Calibri" w:eastAsia="Calibri" w:hAnsi="Calibri"/>
          <w:sz w:val="20"/>
          <w:szCs w:val="20"/>
        </w:rPr>
        <w:t xml:space="preserve">Anniversaire d'Eventy (juin) — tous ensemble.</w:t>
      </w:r>
    </w:p>
    <w:p>
      <w:pPr>
        <w:spacing w:after="100" w:before="220"/>
      </w:pPr>
      <w:r>
        <w:rPr>
          <w:rFonts w:ascii="Calibri" w:cs="Calibri" w:eastAsia="Calibri" w:hAnsi="Calibri"/>
          <w:b/>
          <w:bCs/>
          <w:color w:val="E87722"/>
          <w:sz w:val="22"/>
          <w:szCs w:val="22"/>
        </w:rPr>
        <w:t xml:space="preserve">4.2. Modes de travail</w:t>
      </w:r>
    </w:p>
    <w:p>
      <w:pPr>
        <w:pStyle w:val="ListParagraph"/>
        <w:numPr>
          <w:ilvl w:val="0"/>
          <w:numId w:val="2"/>
        </w:numPr>
        <w:spacing w:after="60" w:line="260"/>
      </w:pPr>
      <w:r>
        <w:rPr>
          <w:rFonts w:ascii="Calibri" w:cs="Calibri" w:eastAsia="Calibri" w:hAnsi="Calibri"/>
          <w:sz w:val="20"/>
          <w:szCs w:val="20"/>
        </w:rPr>
        <w:t xml:space="preserve">Hybride flexible (cohérence Charte télétravail).</w:t>
      </w:r>
    </w:p>
    <w:p>
      <w:pPr>
        <w:pStyle w:val="ListParagraph"/>
        <w:numPr>
          <w:ilvl w:val="0"/>
          <w:numId w:val="2"/>
        </w:numPr>
        <w:spacing w:after="60" w:line="260"/>
      </w:pPr>
      <w:r>
        <w:rPr>
          <w:rFonts w:ascii="Calibri" w:cs="Calibri" w:eastAsia="Calibri" w:hAnsi="Calibri"/>
          <w:sz w:val="20"/>
          <w:szCs w:val="20"/>
        </w:rPr>
        <w:t xml:space="preserve">Plages communes 10h-12h30 / 14h-17h.</w:t>
      </w:r>
    </w:p>
    <w:p>
      <w:pPr>
        <w:pStyle w:val="ListParagraph"/>
        <w:numPr>
          <w:ilvl w:val="0"/>
          <w:numId w:val="2"/>
        </w:numPr>
        <w:spacing w:after="60" w:line="260"/>
      </w:pPr>
      <w:r>
        <w:rPr>
          <w:rFonts w:ascii="Calibri" w:cs="Calibri" w:eastAsia="Calibri" w:hAnsi="Calibri"/>
          <w:sz w:val="20"/>
          <w:szCs w:val="20"/>
        </w:rPr>
        <w:t xml:space="preserve">Droit à la déconnexion absolu.</w:t>
      </w:r>
    </w:p>
    <w:p>
      <w:pPr>
        <w:pStyle w:val="ListParagraph"/>
        <w:numPr>
          <w:ilvl w:val="0"/>
          <w:numId w:val="2"/>
        </w:numPr>
        <w:spacing w:after="60" w:line="260"/>
      </w:pPr>
      <w:r>
        <w:rPr>
          <w:rFonts w:ascii="Calibri" w:cs="Calibri" w:eastAsia="Calibri" w:hAnsi="Calibri"/>
          <w:sz w:val="20"/>
          <w:szCs w:val="20"/>
        </w:rPr>
        <w:t xml:space="preserve">Refus du sur-travail glorifié.</w:t>
      </w:r>
    </w:p>
    <w:p>
      <w:pPr>
        <w:pStyle w:val="ListParagraph"/>
        <w:numPr>
          <w:ilvl w:val="0"/>
          <w:numId w:val="2"/>
        </w:numPr>
        <w:spacing w:after="60" w:line="260"/>
      </w:pPr>
      <w:r>
        <w:rPr>
          <w:rFonts w:ascii="Calibri" w:cs="Calibri" w:eastAsia="Calibri" w:hAnsi="Calibri"/>
          <w:sz w:val="20"/>
          <w:szCs w:val="20"/>
        </w:rPr>
        <w:t xml:space="preserve">Refus du travail nocturne ou weekend (sauf astreinte voyage en cours).</w:t>
      </w:r>
    </w:p>
    <w:p>
      <w:pPr>
        <w:spacing w:after="100" w:before="220"/>
      </w:pPr>
      <w:r>
        <w:rPr>
          <w:rFonts w:ascii="Calibri" w:cs="Calibri" w:eastAsia="Calibri" w:hAnsi="Calibri"/>
          <w:b/>
          <w:bCs/>
          <w:color w:val="E87722"/>
          <w:sz w:val="22"/>
          <w:szCs w:val="22"/>
        </w:rPr>
        <w:t xml:space="preserve">4.3. Reconnaissance</w:t>
      </w:r>
    </w:p>
    <w:p>
      <w:pPr>
        <w:pStyle w:val="ListParagraph"/>
        <w:numPr>
          <w:ilvl w:val="0"/>
          <w:numId w:val="2"/>
        </w:numPr>
        <w:spacing w:after="60" w:line="260"/>
      </w:pPr>
      <w:r>
        <w:rPr>
          <w:rFonts w:ascii="Calibri" w:cs="Calibri" w:eastAsia="Calibri" w:hAnsi="Calibri"/>
          <w:sz w:val="20"/>
          <w:szCs w:val="20"/>
        </w:rPr>
        <w:t xml:space="preserve">Mention dans la newsletter interne mensuelle.</w:t>
      </w:r>
    </w:p>
    <w:p>
      <w:pPr>
        <w:pStyle w:val="ListParagraph"/>
        <w:numPr>
          <w:ilvl w:val="0"/>
          <w:numId w:val="2"/>
        </w:numPr>
        <w:spacing w:after="60" w:line="260"/>
      </w:pPr>
      <w:r>
        <w:rPr>
          <w:rFonts w:ascii="Calibri" w:cs="Calibri" w:eastAsia="Calibri" w:hAnsi="Calibri"/>
          <w:sz w:val="20"/>
          <w:szCs w:val="20"/>
        </w:rPr>
        <w:t xml:space="preserve">Reconnaissance lors des all-hands.</w:t>
      </w:r>
    </w:p>
    <w:p>
      <w:pPr>
        <w:pStyle w:val="ListParagraph"/>
        <w:numPr>
          <w:ilvl w:val="0"/>
          <w:numId w:val="2"/>
        </w:numPr>
        <w:spacing w:after="60" w:line="260"/>
      </w:pPr>
      <w:r>
        <w:rPr>
          <w:rFonts w:ascii="Calibri" w:cs="Calibri" w:eastAsia="Calibri" w:hAnsi="Calibri"/>
          <w:sz w:val="20"/>
          <w:szCs w:val="20"/>
        </w:rPr>
        <w:t xml:space="preserve">Cohérence avec Modèle d'entretien annuel.</w:t>
      </w:r>
    </w:p>
    <w:p>
      <w:pPr>
        <w:pStyle w:val="ListParagraph"/>
        <w:numPr>
          <w:ilvl w:val="0"/>
          <w:numId w:val="2"/>
        </w:numPr>
        <w:spacing w:after="60" w:line="260"/>
      </w:pPr>
      <w:r>
        <w:rPr>
          <w:rFonts w:ascii="Calibri" w:cs="Calibri" w:eastAsia="Calibri" w:hAnsi="Calibri"/>
          <w:sz w:val="20"/>
          <w:szCs w:val="20"/>
        </w:rPr>
        <w:t xml:space="preserve">Refus de l'incentive financier court-termiste.</w:t>
      </w:r>
    </w:p>
    <w:p>
      <w:pPr>
        <w:spacing w:after="160" w:before="240"/>
      </w:pPr>
      <w:r>
        <w:rPr>
          <w:rFonts w:ascii="Calibri" w:cs="Calibri" w:eastAsia="Calibri" w:hAnsi="Calibri"/>
          <w:b/>
          <w:bCs/>
          <w:color w:val="1F4E79"/>
          <w:sz w:val="32"/>
          <w:szCs w:val="32"/>
        </w:rPr>
        <w:t xml:space="preserve">5. Sanctions en cas de manquement</w:t>
      </w:r>
    </w:p>
    <w:p>
      <w:pPr>
        <w:spacing w:after="100" w:before="220"/>
      </w:pPr>
      <w:r>
        <w:rPr>
          <w:rFonts w:ascii="Calibri" w:cs="Calibri" w:eastAsia="Calibri" w:hAnsi="Calibri"/>
          <w:b/>
          <w:bCs/>
          <w:color w:val="E87722"/>
          <w:sz w:val="22"/>
          <w:szCs w:val="22"/>
        </w:rPr>
        <w:t xml:space="preserve">5.1. Manquements mineurs</w:t>
      </w:r>
    </w:p>
    <w:p>
      <w:pPr>
        <w:pStyle w:val="ListParagraph"/>
        <w:numPr>
          <w:ilvl w:val="0"/>
          <w:numId w:val="2"/>
        </w:numPr>
        <w:spacing w:after="60" w:line="260"/>
      </w:pPr>
      <w:r>
        <w:rPr>
          <w:rFonts w:ascii="Calibri" w:cs="Calibri" w:eastAsia="Calibri" w:hAnsi="Calibri"/>
          <w:sz w:val="20"/>
          <w:szCs w:val="20"/>
        </w:rPr>
        <w:t xml:space="preserve">Discussion bienveillante et explication.</w:t>
      </w:r>
    </w:p>
    <w:p>
      <w:pPr>
        <w:pStyle w:val="ListParagraph"/>
        <w:numPr>
          <w:ilvl w:val="0"/>
          <w:numId w:val="2"/>
        </w:numPr>
        <w:spacing w:after="60" w:line="260"/>
      </w:pPr>
      <w:r>
        <w:rPr>
          <w:rFonts w:ascii="Calibri" w:cs="Calibri" w:eastAsia="Calibri" w:hAnsi="Calibri"/>
          <w:sz w:val="20"/>
          <w:szCs w:val="20"/>
        </w:rPr>
        <w:t xml:space="preserve">Avertissement écrit possible.</w:t>
      </w:r>
    </w:p>
    <w:p>
      <w:pPr>
        <w:pStyle w:val="ListParagraph"/>
        <w:numPr>
          <w:ilvl w:val="0"/>
          <w:numId w:val="2"/>
        </w:numPr>
        <w:spacing w:after="60" w:line="260"/>
      </w:pPr>
      <w:r>
        <w:rPr>
          <w:rFonts w:ascii="Calibri" w:cs="Calibri" w:eastAsia="Calibri" w:hAnsi="Calibri"/>
          <w:sz w:val="20"/>
          <w:szCs w:val="20"/>
        </w:rPr>
        <w:t xml:space="preserve">Plan d'amélioration personnel.</w:t>
      </w:r>
    </w:p>
    <w:p>
      <w:pPr>
        <w:spacing w:after="100" w:before="220"/>
      </w:pPr>
      <w:r>
        <w:rPr>
          <w:rFonts w:ascii="Calibri" w:cs="Calibri" w:eastAsia="Calibri" w:hAnsi="Calibri"/>
          <w:b/>
          <w:bCs/>
          <w:color w:val="E87722"/>
          <w:sz w:val="22"/>
          <w:szCs w:val="22"/>
        </w:rPr>
        <w:t xml:space="preserve">5.2. Manquements modérés</w:t>
      </w:r>
    </w:p>
    <w:p>
      <w:pPr>
        <w:pStyle w:val="ListParagraph"/>
        <w:numPr>
          <w:ilvl w:val="0"/>
          <w:numId w:val="2"/>
        </w:numPr>
        <w:spacing w:after="60" w:line="260"/>
      </w:pPr>
      <w:r>
        <w:rPr>
          <w:rFonts w:ascii="Calibri" w:cs="Calibri" w:eastAsia="Calibri" w:hAnsi="Calibri"/>
          <w:sz w:val="20"/>
          <w:szCs w:val="20"/>
        </w:rPr>
        <w:t xml:space="preserve">Avertissement formel écrit.</w:t>
      </w:r>
    </w:p>
    <w:p>
      <w:pPr>
        <w:pStyle w:val="ListParagraph"/>
        <w:numPr>
          <w:ilvl w:val="0"/>
          <w:numId w:val="2"/>
        </w:numPr>
        <w:spacing w:after="60" w:line="260"/>
      </w:pPr>
      <w:r>
        <w:rPr>
          <w:rFonts w:ascii="Calibri" w:cs="Calibri" w:eastAsia="Calibri" w:hAnsi="Calibri"/>
          <w:sz w:val="20"/>
          <w:szCs w:val="20"/>
        </w:rPr>
        <w:t xml:space="preserve">Sanction disciplinaire (mise à pied).</w:t>
      </w:r>
    </w:p>
    <w:p>
      <w:pPr>
        <w:pStyle w:val="ListParagraph"/>
        <w:numPr>
          <w:ilvl w:val="0"/>
          <w:numId w:val="2"/>
        </w:numPr>
        <w:spacing w:after="60" w:line="260"/>
      </w:pPr>
      <w:r>
        <w:rPr>
          <w:rFonts w:ascii="Calibri" w:cs="Calibri" w:eastAsia="Calibri" w:hAnsi="Calibri"/>
          <w:sz w:val="20"/>
          <w:szCs w:val="20"/>
        </w:rPr>
        <w:t xml:space="preserve">Suivi rapproché.</w:t>
      </w:r>
    </w:p>
    <w:p>
      <w:pPr>
        <w:spacing w:after="100" w:before="220"/>
      </w:pPr>
      <w:r>
        <w:rPr>
          <w:rFonts w:ascii="Calibri" w:cs="Calibri" w:eastAsia="Calibri" w:hAnsi="Calibri"/>
          <w:b/>
          <w:bCs/>
          <w:color w:val="E87722"/>
          <w:sz w:val="22"/>
          <w:szCs w:val="22"/>
        </w:rPr>
        <w:t xml:space="preserve">5.3. Manquements graves</w:t>
      </w:r>
    </w:p>
    <w:p>
      <w:pPr>
        <w:pStyle w:val="ListParagraph"/>
        <w:numPr>
          <w:ilvl w:val="0"/>
          <w:numId w:val="2"/>
        </w:numPr>
        <w:spacing w:after="60" w:line="260"/>
      </w:pPr>
      <w:r>
        <w:rPr>
          <w:rFonts w:ascii="Calibri" w:cs="Calibri" w:eastAsia="Calibri" w:hAnsi="Calibri"/>
          <w:sz w:val="20"/>
          <w:szCs w:val="20"/>
        </w:rPr>
        <w:t xml:space="preserve">Licenciement pour faute grave.</w:t>
      </w:r>
    </w:p>
    <w:p>
      <w:pPr>
        <w:pStyle w:val="ListParagraph"/>
        <w:numPr>
          <w:ilvl w:val="0"/>
          <w:numId w:val="2"/>
        </w:numPr>
        <w:spacing w:after="60" w:line="260"/>
      </w:pPr>
      <w:r>
        <w:rPr>
          <w:rFonts w:ascii="Calibri" w:cs="Calibri" w:eastAsia="Calibri" w:hAnsi="Calibri"/>
          <w:sz w:val="20"/>
          <w:szCs w:val="20"/>
        </w:rPr>
        <w:t xml:space="preserve">Action en justice si applicable (corruption, vol).</w:t>
      </w:r>
    </w:p>
    <w:p>
      <w:pPr>
        <w:pStyle w:val="ListParagraph"/>
        <w:numPr>
          <w:ilvl w:val="0"/>
          <w:numId w:val="2"/>
        </w:numPr>
        <w:spacing w:after="60" w:line="260"/>
      </w:pPr>
      <w:r>
        <w:rPr>
          <w:rFonts w:ascii="Calibri" w:cs="Calibri" w:eastAsia="Calibri" w:hAnsi="Calibri"/>
          <w:sz w:val="20"/>
          <w:szCs w:val="20"/>
        </w:rPr>
        <w:t xml:space="preserve">Cohérence avec Procédure de signalement.</w:t>
      </w:r>
    </w:p>
    <w:p>
      <w:pPr>
        <w:spacing w:after="160" w:before="240"/>
      </w:pPr>
      <w:r>
        <w:rPr>
          <w:rFonts w:ascii="Calibri" w:cs="Calibri" w:eastAsia="Calibri" w:hAnsi="Calibri"/>
          <w:b/>
          <w:bCs/>
          <w:color w:val="1F4E79"/>
          <w:sz w:val="32"/>
          <w:szCs w:val="32"/>
        </w:rPr>
        <w:t xml:space="preserve">6. Diffusion et appropriation</w:t>
      </w:r>
    </w:p>
    <w:p>
      <w:pPr>
        <w:pStyle w:val="ListParagraph"/>
        <w:numPr>
          <w:ilvl w:val="0"/>
          <w:numId w:val="2"/>
        </w:numPr>
        <w:spacing w:after="60" w:line="260"/>
      </w:pPr>
      <w:r>
        <w:rPr>
          <w:rFonts w:ascii="Calibri" w:cs="Calibri" w:eastAsia="Calibri" w:hAnsi="Calibri"/>
          <w:sz w:val="20"/>
          <w:szCs w:val="20"/>
        </w:rPr>
        <w:t xml:space="preserve">Lecture obligatoire à l'arrivée (cohérence Procédure de recrutement).</w:t>
      </w:r>
    </w:p>
    <w:p>
      <w:pPr>
        <w:pStyle w:val="ListParagraph"/>
        <w:numPr>
          <w:ilvl w:val="0"/>
          <w:numId w:val="2"/>
        </w:numPr>
        <w:spacing w:after="60" w:line="260"/>
      </w:pPr>
      <w:r>
        <w:rPr>
          <w:rFonts w:ascii="Calibri" w:cs="Calibri" w:eastAsia="Calibri" w:hAnsi="Calibri"/>
          <w:sz w:val="20"/>
          <w:szCs w:val="20"/>
        </w:rPr>
        <w:t xml:space="preserve">Discussion en équipe lors de l'onboarding.</w:t>
      </w:r>
    </w:p>
    <w:p>
      <w:pPr>
        <w:pStyle w:val="ListParagraph"/>
        <w:numPr>
          <w:ilvl w:val="0"/>
          <w:numId w:val="2"/>
        </w:numPr>
        <w:spacing w:after="60" w:line="260"/>
      </w:pPr>
      <w:r>
        <w:rPr>
          <w:rFonts w:ascii="Calibri" w:cs="Calibri" w:eastAsia="Calibri" w:hAnsi="Calibri"/>
          <w:sz w:val="20"/>
          <w:szCs w:val="20"/>
        </w:rPr>
        <w:t xml:space="preserve">Rappel annuel obligatoire (cohérence Plan de formation interne).</w:t>
      </w:r>
    </w:p>
    <w:p>
      <w:pPr>
        <w:pStyle w:val="ListParagraph"/>
        <w:numPr>
          <w:ilvl w:val="0"/>
          <w:numId w:val="2"/>
        </w:numPr>
        <w:spacing w:after="60" w:line="260"/>
      </w:pPr>
      <w:r>
        <w:rPr>
          <w:rFonts w:ascii="Calibri" w:cs="Calibri" w:eastAsia="Calibri" w:hAnsi="Calibri"/>
          <w:sz w:val="20"/>
          <w:szCs w:val="20"/>
        </w:rPr>
        <w:t xml:space="preserve">Mise à jour annuelle co-construite avec l'équipe.</w:t>
      </w:r>
    </w:p>
    <w:p>
      <w:pPr>
        <w:pStyle w:val="ListParagraph"/>
        <w:numPr>
          <w:ilvl w:val="0"/>
          <w:numId w:val="2"/>
        </w:numPr>
        <w:spacing w:after="60" w:line="260"/>
      </w:pPr>
      <w:r>
        <w:rPr>
          <w:rFonts w:ascii="Calibri" w:cs="Calibri" w:eastAsia="Calibri" w:hAnsi="Calibri"/>
          <w:sz w:val="20"/>
          <w:szCs w:val="20"/>
        </w:rPr>
        <w:t xml:space="preserve">Affichage dans les locaux Eventy.</w:t>
      </w:r>
    </w:p>
    <w:p>
      <w:pPr>
        <w:spacing w:after="160" w:before="240"/>
      </w:pPr>
      <w:r>
        <w:rPr>
          <w:rFonts w:ascii="Calibri" w:cs="Calibri" w:eastAsia="Calibri" w:hAnsi="Calibri"/>
          <w:b/>
          <w:bCs/>
          <w:color w:val="1F4E79"/>
          <w:sz w:val="32"/>
          <w:szCs w:val="32"/>
        </w:rPr>
        <w:t xml:space="preserve">7.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interne (eNPS)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+ 30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+ 50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Sondage adhésion aux valeurs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harcèlement / discrimination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Manquements graves (licenciement)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Lecture annuelle de la charte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Turnover involontaire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&lt; 5 %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&lt; 3 %</w:t>
            </w:r>
          </w:p>
        </w:tc>
      </w:tr>
    </w:tbl>
    <w:p>
      <w:pPr>
        <w:spacing w:after="160" w:before="240"/>
      </w:pPr>
      <w:r>
        <w:rPr>
          <w:rFonts w:ascii="Calibri" w:cs="Calibri" w:eastAsia="Calibri" w:hAnsi="Calibri"/>
          <w:b/>
          <w:bCs/>
          <w:color w:val="1F4E79"/>
          <w:sz w:val="32"/>
          <w:szCs w:val="32"/>
        </w:rPr>
        <w:t xml:space="preserve">8. Engagements opposables Eventy envers l'équipe</w:t>
      </w:r>
    </w:p>
    <w:p>
      <w:pPr>
        <w:pStyle w:val="ListParagraph"/>
        <w:numPr>
          <w:ilvl w:val="0"/>
          <w:numId w:val="2"/>
        </w:numPr>
        <w:spacing w:after="60" w:line="260"/>
      </w:pPr>
      <w:r>
        <w:rPr>
          <w:rFonts w:ascii="Calibri" w:cs="Calibri" w:eastAsia="Calibri" w:hAnsi="Calibri"/>
          <w:sz w:val="20"/>
          <w:szCs w:val="20"/>
        </w:rPr>
        <w:t xml:space="preserve">Respect des valeurs énoncées.</w:t>
      </w:r>
    </w:p>
    <w:p>
      <w:pPr>
        <w:pStyle w:val="ListParagraph"/>
        <w:numPr>
          <w:ilvl w:val="0"/>
          <w:numId w:val="2"/>
        </w:numPr>
        <w:spacing w:after="60" w:line="260"/>
      </w:pPr>
      <w:r>
        <w:rPr>
          <w:rFonts w:ascii="Calibri" w:cs="Calibri" w:eastAsia="Calibri" w:hAnsi="Calibri"/>
          <w:sz w:val="20"/>
          <w:szCs w:val="20"/>
        </w:rPr>
        <w:t xml:space="preserve">Reconnaissance des contributions.</w:t>
      </w:r>
    </w:p>
    <w:p>
      <w:pPr>
        <w:pStyle w:val="ListParagraph"/>
        <w:numPr>
          <w:ilvl w:val="0"/>
          <w:numId w:val="2"/>
        </w:numPr>
        <w:spacing w:after="60" w:line="260"/>
      </w:pPr>
      <w:r>
        <w:rPr>
          <w:rFonts w:ascii="Calibri" w:cs="Calibri" w:eastAsia="Calibri" w:hAnsi="Calibri"/>
          <w:sz w:val="20"/>
          <w:szCs w:val="20"/>
        </w:rPr>
        <w:t xml:space="preserve">Non-représailles contre signalements (cohérence Procédure de signalement).</w:t>
      </w:r>
    </w:p>
    <w:p>
      <w:pPr>
        <w:pStyle w:val="ListParagraph"/>
        <w:numPr>
          <w:ilvl w:val="0"/>
          <w:numId w:val="2"/>
        </w:numPr>
        <w:spacing w:after="60" w:line="260"/>
      </w:pPr>
      <w:r>
        <w:rPr>
          <w:rFonts w:ascii="Calibri" w:cs="Calibri" w:eastAsia="Calibri" w:hAnsi="Calibri"/>
          <w:sz w:val="20"/>
          <w:szCs w:val="20"/>
        </w:rPr>
        <w:t xml:space="preserve">Égalité de traitement absolue.</w:t>
      </w:r>
    </w:p>
    <w:p>
      <w:pPr>
        <w:pStyle w:val="ListParagraph"/>
        <w:numPr>
          <w:ilvl w:val="0"/>
          <w:numId w:val="2"/>
        </w:numPr>
        <w:spacing w:after="60" w:line="260"/>
      </w:pPr>
      <w:r>
        <w:rPr>
          <w:rFonts w:ascii="Calibri" w:cs="Calibri" w:eastAsia="Calibri" w:hAnsi="Calibri"/>
          <w:sz w:val="20"/>
          <w:szCs w:val="20"/>
        </w:rPr>
        <w:t xml:space="preserve">Formation et développement (cohérence Plan de formation interne).</w:t>
      </w:r>
    </w:p>
    <w:p>
      <w:pPr>
        <w:pStyle w:val="ListParagraph"/>
        <w:numPr>
          <w:ilvl w:val="0"/>
          <w:numId w:val="2"/>
        </w:numPr>
        <w:spacing w:after="60" w:line="260"/>
      </w:pPr>
      <w:r>
        <w:rPr>
          <w:rFonts w:ascii="Calibri" w:cs="Calibri" w:eastAsia="Calibri" w:hAnsi="Calibri"/>
          <w:sz w:val="20"/>
          <w:szCs w:val="20"/>
        </w:rPr>
        <w:t xml:space="preserve">Bien-être au travail (cohérence Charte télétravail).</w:t>
      </w:r>
    </w:p>
    <w:p>
      <w:pPr>
        <w:pStyle w:val="ListParagraph"/>
        <w:numPr>
          <w:ilvl w:val="0"/>
          <w:numId w:val="2"/>
        </w:numPr>
        <w:spacing w:after="60" w:line="260"/>
      </w:pPr>
      <w:r>
        <w:rPr>
          <w:rFonts w:ascii="Calibri" w:cs="Calibri" w:eastAsia="Calibri" w:hAnsi="Calibri"/>
          <w:sz w:val="20"/>
          <w:szCs w:val="20"/>
        </w:rPr>
        <w:t xml:space="preserve">Refus de l'extraction de l'humain.</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 co-construite équipe.</w:t>
      </w:r>
    </w:p>
    <w:p>
      <w:pPr>
        <w:spacing w:after="100" w:line="280"/>
        <w:jc w:val="both"/>
      </w:pPr>
      <w:r>
        <w:rPr>
          <w:rFonts w:ascii="Calibri" w:cs="Calibri" w:eastAsia="Calibri" w:hAnsi="Calibri"/>
          <w:i/>
          <w:iCs/>
          <w:color w:val="555555"/>
          <w:sz w:val="18"/>
          <w:szCs w:val="18"/>
        </w:rPr>
        <w:t xml:space="preserve">Cohérence avec : AME-EVENTY.md, Charte télétravail, Procédure de recrutement, Modèle d'entretien annuel, Politique anti-corruption, Politique conflits d'intérêts, Procédure de signalement, Charte d'inclusion et diversité, Plan de formation interne, Plan de communication interne, Politique notes de frais, Charte commerciale.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Charte valeurs et éthique équipe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Charte des valeurs et code éthique équipe</dc:title>
  <dc:creator>David Eventy — Eventy Life SAS</dc:creator>
  <dc:description>Culture interne et code de conduite des collaborateurs Eventy.</dc:description>
  <cp:lastModifiedBy>Un-named</cp:lastModifiedBy>
  <cp:revision>1</cp:revision>
  <dcterms:created xsi:type="dcterms:W3CDTF">2026-05-02T05:37:59.793Z</dcterms:created>
  <dcterms:modified xsi:type="dcterms:W3CDTF">2026-05-02T05:37:59.794Z</dcterms:modified>
</cp:coreProperties>
</file>

<file path=docProps/custom.xml><?xml version="1.0" encoding="utf-8"?>
<Properties xmlns="http://schemas.openxmlformats.org/officeDocument/2006/custom-properties" xmlns:vt="http://schemas.openxmlformats.org/officeDocument/2006/docPropsVTypes"/>
</file>