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18"/>
              <w:left w:val="single" w:color="E87722" w:sz="18"/>
              <w:bottom w:val="single" w:color="E87722" w:sz="18"/>
              <w:right w:val="single" w:color="E87722" w:sz="18"/>
            </w:tcBorders>
            <w:shd w:fill="FFF8EE" w:val="clear"/>
            <w:tcMar>
              <w:top w:type="dxa" w:w="200"/>
              <w:left w:type="dxa" w:w="240"/>
              <w:bottom w:type="dxa" w:w="200"/>
              <w:right w:type="dxa" w:w="240"/>
            </w:tcMar>
          </w:tcPr>
          <w:p>
            <w:pPr>
              <w:spacing w:after="60"/>
              <w:jc w:val="center"/>
            </w:pPr>
            <w:r>
              <w:rPr>
                <w:rFonts w:ascii="Calibri" w:cs="Calibri" w:eastAsia="Calibri" w:hAnsi="Calibri"/>
                <w:b/>
                <w:bCs/>
                <w:color w:val="E87722"/>
                <w:sz w:val="28"/>
                <w:szCs w:val="28"/>
              </w:rPr>
              <w:t xml:space="preserve">PLAN D'ÉDUCATION ET SENSIBILISATION VOYAGEURS</w:t>
            </w:r>
          </w:p>
          <w:p>
            <w:pPr>
              <w:spacing w:after="0"/>
              <w:jc w:val="center"/>
            </w:pPr>
            <w:r>
              <w:rPr>
                <w:rFonts w:ascii="Calibri" w:cs="Calibri" w:eastAsia="Calibri" w:hAnsi="Calibri"/>
                <w:i/>
                <w:iCs/>
                <w:color w:val="1F4E79"/>
                <w:sz w:val="18"/>
                <w:szCs w:val="18"/>
              </w:rPr>
              <w:t xml:space="preserve">Transparence radicale en action — pré-voyage, voyage, post-voyage</w:t>
            </w:r>
          </w:p>
        </w:tc>
      </w:tr>
    </w:tbl>
    <w:p>
      <w:pPr>
        <w:spacing w:after="160"/>
      </w:pPr>
      <w:r>
        <w:t xml:space="preserve"/>
      </w:r>
    </w:p>
    <w:p>
      <w:pPr>
        <w:spacing w:after="100" w:line="280"/>
        <w:jc w:val="both"/>
      </w:pPr>
      <w:r>
        <w:rPr>
          <w:rFonts w:ascii="Calibri" w:cs="Calibri" w:eastAsia="Calibri" w:hAnsi="Calibri"/>
          <w:i/>
          <w:iCs/>
          <w:color w:val="1A1A1A"/>
          <w:sz w:val="20"/>
          <w:szCs w:val="20"/>
        </w:rPr>
        <w:t xml:space="preserve">Le présent plan formalise la stratégie d'éducation et de sensibilisation des voyageurs d'EVENTY LIFE SAS. Il complète l'Onboarding voyageur, le Manuel voyageur autonome, le Glossaire voyage et la Charte engagement carbone. Il vise à rendre les voyageurs acteurs informés et conscients, plutôt que consommateurs passifs.</w:t>
      </w:r>
    </w:p>
    <w:p>
      <w:pPr>
        <w:spacing w:after="100" w:line="280"/>
        <w:jc w:val="both"/>
      </w:pPr>
      <w:r>
        <w:rPr>
          <w:rFonts w:ascii="Calibri" w:cs="Calibri" w:eastAsia="Calibri" w:hAnsi="Calibri"/>
          <w:i/>
          <w:iCs/>
          <w:color w:val="1A1A1A"/>
          <w:sz w:val="20"/>
          <w:szCs w:val="20"/>
        </w:rPr>
        <w:t xml:space="preserve">Eventy croit qu'un voyageur informé est un voyageur respecté. Notre approche : sensibilisation sobre (refus de la moralisation), informations utiles (pas de greenwashing), respect de la liberté individuelle (refus de l'injonction). On éduque par l'exemple, par la transparence, par la mise à disposition d'informations de qualité.</w:t>
      </w:r>
    </w:p>
    <w:p>
      <w:pPr>
        <w:spacing w:after="160" w:before="240"/>
      </w:pPr>
      <w:r>
        <w:rPr>
          <w:rFonts w:ascii="Calibri" w:cs="Calibri" w:eastAsia="Calibri" w:hAnsi="Calibri"/>
          <w:b/>
          <w:bCs/>
          <w:color w:val="1F4E79"/>
          <w:sz w:val="32"/>
          <w:szCs w:val="32"/>
        </w:rPr>
        <w:t xml:space="preserve">1. Cadre</w:t>
      </w:r>
    </w:p>
    <w:p>
      <w:pPr>
        <w:spacing w:after="100" w:before="220"/>
      </w:pPr>
      <w:r>
        <w:rPr>
          <w:rFonts w:ascii="Calibri" w:cs="Calibri" w:eastAsia="Calibri" w:hAnsi="Calibri"/>
          <w:b/>
          <w:bCs/>
          <w:color w:val="E87722"/>
          <w:sz w:val="22"/>
          <w:szCs w:val="22"/>
        </w:rPr>
        <w:t xml:space="preserve">1.1. Périmètre</w:t>
      </w:r>
    </w:p>
    <w:p>
      <w:pPr>
        <w:pStyle w:val="ListParagraph"/>
        <w:numPr>
          <w:ilvl w:val="0"/>
          <w:numId w:val="2"/>
        </w:numPr>
        <w:spacing w:after="60" w:line="260"/>
      </w:pPr>
      <w:r>
        <w:rPr>
          <w:rFonts w:ascii="Calibri" w:cs="Calibri" w:eastAsia="Calibri" w:hAnsi="Calibri"/>
          <w:sz w:val="20"/>
          <w:szCs w:val="20"/>
        </w:rPr>
        <w:t xml:space="preserve">Voyageurs avant réservation (information transparente).</w:t>
      </w:r>
    </w:p>
    <w:p>
      <w:pPr>
        <w:pStyle w:val="ListParagraph"/>
        <w:numPr>
          <w:ilvl w:val="0"/>
          <w:numId w:val="2"/>
        </w:numPr>
        <w:spacing w:after="60" w:line="260"/>
      </w:pPr>
      <w:r>
        <w:rPr>
          <w:rFonts w:ascii="Calibri" w:cs="Calibri" w:eastAsia="Calibri" w:hAnsi="Calibri"/>
          <w:sz w:val="20"/>
          <w:szCs w:val="20"/>
        </w:rPr>
        <w:t xml:space="preserve">Voyageurs ayant réservé (préparation au voyage).</w:t>
      </w:r>
    </w:p>
    <w:p>
      <w:pPr>
        <w:pStyle w:val="ListParagraph"/>
        <w:numPr>
          <w:ilvl w:val="0"/>
          <w:numId w:val="2"/>
        </w:numPr>
        <w:spacing w:after="60" w:line="260"/>
      </w:pPr>
      <w:r>
        <w:rPr>
          <w:rFonts w:ascii="Calibri" w:cs="Calibri" w:eastAsia="Calibri" w:hAnsi="Calibri"/>
          <w:sz w:val="20"/>
          <w:szCs w:val="20"/>
        </w:rPr>
        <w:t xml:space="preserve">Voyageurs en cours de voyage (sensibilisation sobre).</w:t>
      </w:r>
    </w:p>
    <w:p>
      <w:pPr>
        <w:pStyle w:val="ListParagraph"/>
        <w:numPr>
          <w:ilvl w:val="0"/>
          <w:numId w:val="2"/>
        </w:numPr>
        <w:spacing w:after="60" w:line="260"/>
      </w:pPr>
      <w:r>
        <w:rPr>
          <w:rFonts w:ascii="Calibri" w:cs="Calibri" w:eastAsia="Calibri" w:hAnsi="Calibri"/>
          <w:sz w:val="20"/>
          <w:szCs w:val="20"/>
        </w:rPr>
        <w:t xml:space="preserve">Voyageurs post-voyage (réflexion, prolongement).</w:t>
      </w:r>
    </w:p>
    <w:p>
      <w:pPr>
        <w:spacing w:after="100" w:before="220"/>
      </w:pPr>
      <w:r>
        <w:rPr>
          <w:rFonts w:ascii="Calibri" w:cs="Calibri" w:eastAsia="Calibri" w:hAnsi="Calibri"/>
          <w:b/>
          <w:bCs/>
          <w:color w:val="E87722"/>
          <w:sz w:val="22"/>
          <w:szCs w:val="22"/>
        </w:rPr>
        <w:t xml:space="preserve">1.2. Cinq principes</w:t>
      </w:r>
    </w:p>
    <w:p>
      <w:pPr>
        <w:pStyle w:val="ListParagraph"/>
        <w:numPr>
          <w:ilvl w:val="0"/>
          <w:numId w:val="2"/>
        </w:numPr>
        <w:spacing w:after="60" w:line="260"/>
      </w:pPr>
      <w:r>
        <w:rPr>
          <w:rFonts w:ascii="Calibri" w:cs="Calibri" w:eastAsia="Calibri" w:hAnsi="Calibri"/>
          <w:sz w:val="20"/>
          <w:szCs w:val="20"/>
        </w:rPr>
        <w:t xml:space="preserve">Transparence — informations factuelles et sourcées.</w:t>
      </w:r>
    </w:p>
    <w:p>
      <w:pPr>
        <w:pStyle w:val="ListParagraph"/>
        <w:numPr>
          <w:ilvl w:val="0"/>
          <w:numId w:val="2"/>
        </w:numPr>
        <w:spacing w:after="60" w:line="260"/>
      </w:pPr>
      <w:r>
        <w:rPr>
          <w:rFonts w:ascii="Calibri" w:cs="Calibri" w:eastAsia="Calibri" w:hAnsi="Calibri"/>
          <w:sz w:val="20"/>
          <w:szCs w:val="20"/>
        </w:rPr>
        <w:t xml:space="preserve">Sobriété — refus de la moralisation infantilisante.</w:t>
      </w:r>
    </w:p>
    <w:p>
      <w:pPr>
        <w:pStyle w:val="ListParagraph"/>
        <w:numPr>
          <w:ilvl w:val="0"/>
          <w:numId w:val="2"/>
        </w:numPr>
        <w:spacing w:after="60" w:line="260"/>
      </w:pPr>
      <w:r>
        <w:rPr>
          <w:rFonts w:ascii="Calibri" w:cs="Calibri" w:eastAsia="Calibri" w:hAnsi="Calibri"/>
          <w:sz w:val="20"/>
          <w:szCs w:val="20"/>
        </w:rPr>
        <w:t xml:space="preserve">Respect — refus de l'injonction comportementale.</w:t>
      </w:r>
    </w:p>
    <w:p>
      <w:pPr>
        <w:pStyle w:val="ListParagraph"/>
        <w:numPr>
          <w:ilvl w:val="0"/>
          <w:numId w:val="2"/>
        </w:numPr>
        <w:spacing w:after="60" w:line="260"/>
      </w:pPr>
      <w:r>
        <w:rPr>
          <w:rFonts w:ascii="Calibri" w:cs="Calibri" w:eastAsia="Calibri" w:hAnsi="Calibri"/>
          <w:sz w:val="20"/>
          <w:szCs w:val="20"/>
        </w:rPr>
        <w:t xml:space="preserve">Utilité — informations actionnables, pas théoriques.</w:t>
      </w:r>
    </w:p>
    <w:p>
      <w:pPr>
        <w:pStyle w:val="ListParagraph"/>
        <w:numPr>
          <w:ilvl w:val="0"/>
          <w:numId w:val="2"/>
        </w:numPr>
        <w:spacing w:after="60" w:line="260"/>
      </w:pPr>
      <w:r>
        <w:rPr>
          <w:rFonts w:ascii="Calibri" w:cs="Calibri" w:eastAsia="Calibri" w:hAnsi="Calibri"/>
          <w:sz w:val="20"/>
          <w:szCs w:val="20"/>
        </w:rPr>
        <w:t xml:space="preserve">Bienveillance — accompagner, pas juger.</w:t>
      </w:r>
    </w:p>
    <w:p>
      <w:pPr>
        <w:spacing w:after="100" w:before="220"/>
      </w:pPr>
      <w:r>
        <w:rPr>
          <w:rFonts w:ascii="Calibri" w:cs="Calibri" w:eastAsia="Calibri" w:hAnsi="Calibri"/>
          <w:b/>
          <w:bCs/>
          <w:color w:val="E87722"/>
          <w:sz w:val="22"/>
          <w:szCs w:val="22"/>
        </w:rPr>
        <w:t xml:space="preserve">1.3. Refus structurés</w:t>
      </w:r>
    </w:p>
    <w:p>
      <w:pPr>
        <w:pStyle w:val="ListParagraph"/>
        <w:numPr>
          <w:ilvl w:val="0"/>
          <w:numId w:val="2"/>
        </w:numPr>
        <w:spacing w:after="60" w:line="260"/>
      </w:pPr>
      <w:r>
        <w:rPr>
          <w:rFonts w:ascii="Calibri" w:cs="Calibri" w:eastAsia="Calibri" w:hAnsi="Calibri"/>
          <w:sz w:val="20"/>
          <w:szCs w:val="20"/>
        </w:rPr>
        <w:t xml:space="preserve">Refus de la culpabilisation (« vous êtes responsable de la planète »).</w:t>
      </w:r>
    </w:p>
    <w:p>
      <w:pPr>
        <w:pStyle w:val="ListParagraph"/>
        <w:numPr>
          <w:ilvl w:val="0"/>
          <w:numId w:val="2"/>
        </w:numPr>
        <w:spacing w:after="60" w:line="260"/>
      </w:pPr>
      <w:r>
        <w:rPr>
          <w:rFonts w:ascii="Calibri" w:cs="Calibri" w:eastAsia="Calibri" w:hAnsi="Calibri"/>
          <w:sz w:val="20"/>
          <w:szCs w:val="20"/>
        </w:rPr>
        <w:t xml:space="preserve">Refus du marketing vert (greenwashing).</w:t>
      </w:r>
    </w:p>
    <w:p>
      <w:pPr>
        <w:pStyle w:val="ListParagraph"/>
        <w:numPr>
          <w:ilvl w:val="0"/>
          <w:numId w:val="2"/>
        </w:numPr>
        <w:spacing w:after="60" w:line="260"/>
      </w:pPr>
      <w:r>
        <w:rPr>
          <w:rFonts w:ascii="Calibri" w:cs="Calibri" w:eastAsia="Calibri" w:hAnsi="Calibri"/>
          <w:sz w:val="20"/>
          <w:szCs w:val="20"/>
        </w:rPr>
        <w:t xml:space="preserve">Refus de la pression à un comportement spécifique.</w:t>
      </w:r>
    </w:p>
    <w:p>
      <w:pPr>
        <w:pStyle w:val="ListParagraph"/>
        <w:numPr>
          <w:ilvl w:val="0"/>
          <w:numId w:val="2"/>
        </w:numPr>
        <w:spacing w:after="60" w:line="260"/>
      </w:pPr>
      <w:r>
        <w:rPr>
          <w:rFonts w:ascii="Calibri" w:cs="Calibri" w:eastAsia="Calibri" w:hAnsi="Calibri"/>
          <w:sz w:val="20"/>
          <w:szCs w:val="20"/>
        </w:rPr>
        <w:t xml:space="preserve">Refus du paternalisme (« nous savons mieux que vous »).</w:t>
      </w:r>
    </w:p>
    <w:p>
      <w:pPr>
        <w:pStyle w:val="ListParagraph"/>
        <w:numPr>
          <w:ilvl w:val="0"/>
          <w:numId w:val="2"/>
        </w:numPr>
        <w:spacing w:after="60" w:line="260"/>
      </w:pPr>
      <w:r>
        <w:rPr>
          <w:rFonts w:ascii="Calibri" w:cs="Calibri" w:eastAsia="Calibri" w:hAnsi="Calibri"/>
          <w:sz w:val="20"/>
          <w:szCs w:val="20"/>
        </w:rPr>
        <w:t xml:space="preserve">Refus de l'éducation conditionnelle (« si vous voyagez avec nous, vous devez... »).</w:t>
      </w:r>
    </w:p>
    <w:p>
      <w:pPr>
        <w:spacing w:after="160" w:before="240"/>
      </w:pPr>
      <w:r>
        <w:rPr>
          <w:rFonts w:ascii="Calibri" w:cs="Calibri" w:eastAsia="Calibri" w:hAnsi="Calibri"/>
          <w:b/>
          <w:bCs/>
          <w:color w:val="1F4E79"/>
          <w:sz w:val="32"/>
          <w:szCs w:val="32"/>
        </w:rPr>
        <w:t xml:space="preserve">2. Phase pré-réservation</w:t>
      </w:r>
    </w:p>
    <w:p>
      <w:pPr>
        <w:spacing w:after="100" w:before="220"/>
      </w:pPr>
      <w:r>
        <w:rPr>
          <w:rFonts w:ascii="Calibri" w:cs="Calibri" w:eastAsia="Calibri" w:hAnsi="Calibri"/>
          <w:b/>
          <w:bCs/>
          <w:color w:val="E87722"/>
          <w:sz w:val="22"/>
          <w:szCs w:val="22"/>
        </w:rPr>
        <w:t xml:space="preserve">2.1. Sur le site eventylife.fr</w:t>
      </w:r>
    </w:p>
    <w:p>
      <w:pPr>
        <w:pStyle w:val="ListParagraph"/>
        <w:numPr>
          <w:ilvl w:val="0"/>
          <w:numId w:val="2"/>
        </w:numPr>
        <w:spacing w:after="60" w:line="260"/>
      </w:pPr>
      <w:r>
        <w:rPr>
          <w:rFonts w:ascii="Calibri" w:cs="Calibri" w:eastAsia="Calibri" w:hAnsi="Calibri"/>
          <w:sz w:val="20"/>
          <w:szCs w:val="20"/>
        </w:rPr>
        <w:t xml:space="preserve">Émissions CO2eq estimées par voyage (cohérence Plan gestion environnementale destinations).</w:t>
      </w:r>
    </w:p>
    <w:p>
      <w:pPr>
        <w:pStyle w:val="ListParagraph"/>
        <w:numPr>
          <w:ilvl w:val="0"/>
          <w:numId w:val="2"/>
        </w:numPr>
        <w:spacing w:after="60" w:line="260"/>
      </w:pPr>
      <w:r>
        <w:rPr>
          <w:rFonts w:ascii="Calibri" w:cs="Calibri" w:eastAsia="Calibri" w:hAnsi="Calibri"/>
          <w:sz w:val="20"/>
          <w:szCs w:val="20"/>
        </w:rPr>
        <w:t xml:space="preserve">Décomposition transparente des prix (cohérence Charte commerciale).</w:t>
      </w:r>
    </w:p>
    <w:p>
      <w:pPr>
        <w:pStyle w:val="ListParagraph"/>
        <w:numPr>
          <w:ilvl w:val="0"/>
          <w:numId w:val="2"/>
        </w:numPr>
        <w:spacing w:after="60" w:line="260"/>
      </w:pPr>
      <w:r>
        <w:rPr>
          <w:rFonts w:ascii="Calibri" w:cs="Calibri" w:eastAsia="Calibri" w:hAnsi="Calibri"/>
          <w:sz w:val="20"/>
          <w:szCs w:val="20"/>
        </w:rPr>
        <w:t xml:space="preserve">Niveau d'accessibilité PMR clair (cohérence Politique accessibilité PMR).</w:t>
      </w:r>
    </w:p>
    <w:p>
      <w:pPr>
        <w:pStyle w:val="ListParagraph"/>
        <w:numPr>
          <w:ilvl w:val="0"/>
          <w:numId w:val="2"/>
        </w:numPr>
        <w:spacing w:after="60" w:line="260"/>
      </w:pPr>
      <w:r>
        <w:rPr>
          <w:rFonts w:ascii="Calibri" w:cs="Calibri" w:eastAsia="Calibri" w:hAnsi="Calibri"/>
          <w:sz w:val="20"/>
          <w:szCs w:val="20"/>
        </w:rPr>
        <w:t xml:space="preserve">Difficulté physique honnête.</w:t>
      </w:r>
    </w:p>
    <w:p>
      <w:pPr>
        <w:pStyle w:val="ListParagraph"/>
        <w:numPr>
          <w:ilvl w:val="0"/>
          <w:numId w:val="2"/>
        </w:numPr>
        <w:spacing w:after="60" w:line="260"/>
      </w:pPr>
      <w:r>
        <w:rPr>
          <w:rFonts w:ascii="Calibri" w:cs="Calibri" w:eastAsia="Calibri" w:hAnsi="Calibri"/>
          <w:sz w:val="20"/>
          <w:szCs w:val="20"/>
        </w:rPr>
        <w:t xml:space="preserve">Conditions sanitaires et sécuritaires (cohérence Consignes sécurité destination).</w:t>
      </w:r>
    </w:p>
    <w:p>
      <w:pPr>
        <w:spacing w:after="100" w:before="220"/>
      </w:pPr>
      <w:r>
        <w:rPr>
          <w:rFonts w:ascii="Calibri" w:cs="Calibri" w:eastAsia="Calibri" w:hAnsi="Calibri"/>
          <w:b/>
          <w:bCs/>
          <w:color w:val="E87722"/>
          <w:sz w:val="22"/>
          <w:szCs w:val="22"/>
        </w:rPr>
        <w:t xml:space="preserve">2.2. Glossaire et FAQ</w:t>
      </w:r>
    </w:p>
    <w:p>
      <w:pPr>
        <w:pStyle w:val="ListParagraph"/>
        <w:numPr>
          <w:ilvl w:val="0"/>
          <w:numId w:val="2"/>
        </w:numPr>
        <w:spacing w:after="60" w:line="260"/>
      </w:pPr>
      <w:r>
        <w:rPr>
          <w:rFonts w:ascii="Calibri" w:cs="Calibri" w:eastAsia="Calibri" w:hAnsi="Calibri"/>
          <w:sz w:val="20"/>
          <w:szCs w:val="20"/>
        </w:rPr>
        <w:t xml:space="preserve">Cohérence avec Glossaire voyage (35+ termes expliqués).</w:t>
      </w:r>
    </w:p>
    <w:p>
      <w:pPr>
        <w:pStyle w:val="ListParagraph"/>
        <w:numPr>
          <w:ilvl w:val="0"/>
          <w:numId w:val="2"/>
        </w:numPr>
        <w:spacing w:after="60" w:line="260"/>
      </w:pPr>
      <w:r>
        <w:rPr>
          <w:rFonts w:ascii="Calibri" w:cs="Calibri" w:eastAsia="Calibri" w:hAnsi="Calibri"/>
          <w:sz w:val="20"/>
          <w:szCs w:val="20"/>
        </w:rPr>
        <w:t xml:space="preserve">Cohérence avec FAQ voyageurs (23 questions organisées).</w:t>
      </w:r>
    </w:p>
    <w:p>
      <w:pPr>
        <w:pStyle w:val="ListParagraph"/>
        <w:numPr>
          <w:ilvl w:val="0"/>
          <w:numId w:val="2"/>
        </w:numPr>
        <w:spacing w:after="60" w:line="260"/>
      </w:pPr>
      <w:r>
        <w:rPr>
          <w:rFonts w:ascii="Calibri" w:cs="Calibri" w:eastAsia="Calibri" w:hAnsi="Calibri"/>
          <w:sz w:val="20"/>
          <w:szCs w:val="20"/>
        </w:rPr>
        <w:t xml:space="preserve">Disponibles en accès libre.</w:t>
      </w:r>
    </w:p>
    <w:p>
      <w:pPr>
        <w:spacing w:after="100" w:before="220"/>
      </w:pPr>
      <w:r>
        <w:rPr>
          <w:rFonts w:ascii="Calibri" w:cs="Calibri" w:eastAsia="Calibri" w:hAnsi="Calibri"/>
          <w:b/>
          <w:bCs/>
          <w:color w:val="E87722"/>
          <w:sz w:val="22"/>
          <w:szCs w:val="22"/>
        </w:rPr>
        <w:t xml:space="preserve">2.3. Ressources externes</w:t>
      </w:r>
    </w:p>
    <w:p>
      <w:pPr>
        <w:pStyle w:val="ListParagraph"/>
        <w:numPr>
          <w:ilvl w:val="0"/>
          <w:numId w:val="2"/>
        </w:numPr>
        <w:spacing w:after="60" w:line="260"/>
      </w:pPr>
      <w:r>
        <w:rPr>
          <w:rFonts w:ascii="Calibri" w:cs="Calibri" w:eastAsia="Calibri" w:hAnsi="Calibri"/>
          <w:sz w:val="20"/>
          <w:szCs w:val="20"/>
        </w:rPr>
        <w:t xml:space="preserve">Lien vers France Diplomatie (sécurité).</w:t>
      </w:r>
    </w:p>
    <w:p>
      <w:pPr>
        <w:pStyle w:val="ListParagraph"/>
        <w:numPr>
          <w:ilvl w:val="0"/>
          <w:numId w:val="2"/>
        </w:numPr>
        <w:spacing w:after="60" w:line="260"/>
      </w:pPr>
      <w:r>
        <w:rPr>
          <w:rFonts w:ascii="Calibri" w:cs="Calibri" w:eastAsia="Calibri" w:hAnsi="Calibri"/>
          <w:sz w:val="20"/>
          <w:szCs w:val="20"/>
        </w:rPr>
        <w:t xml:space="preserve">Lien vers Pasteur (santé).</w:t>
      </w:r>
    </w:p>
    <w:p>
      <w:pPr>
        <w:pStyle w:val="ListParagraph"/>
        <w:numPr>
          <w:ilvl w:val="0"/>
          <w:numId w:val="2"/>
        </w:numPr>
        <w:spacing w:after="60" w:line="260"/>
      </w:pPr>
      <w:r>
        <w:rPr>
          <w:rFonts w:ascii="Calibri" w:cs="Calibri" w:eastAsia="Calibri" w:hAnsi="Calibri"/>
          <w:sz w:val="20"/>
          <w:szCs w:val="20"/>
        </w:rPr>
        <w:t xml:space="preserve">Lien vers ANCV (chèques-vacances).</w:t>
      </w:r>
    </w:p>
    <w:p>
      <w:pPr>
        <w:pStyle w:val="ListParagraph"/>
        <w:numPr>
          <w:ilvl w:val="0"/>
          <w:numId w:val="2"/>
        </w:numPr>
        <w:spacing w:after="60" w:line="260"/>
      </w:pPr>
      <w:r>
        <w:rPr>
          <w:rFonts w:ascii="Calibri" w:cs="Calibri" w:eastAsia="Calibri" w:hAnsi="Calibri"/>
          <w:sz w:val="20"/>
          <w:szCs w:val="20"/>
        </w:rPr>
        <w:t xml:space="preserve">Refus de la promotion d'opérateurs concurrents (cohérence Charte éditoriale).</w:t>
      </w:r>
    </w:p>
    <w:p>
      <w:pPr>
        <w:spacing w:after="160" w:before="240"/>
      </w:pPr>
      <w:r>
        <w:rPr>
          <w:rFonts w:ascii="Calibri" w:cs="Calibri" w:eastAsia="Calibri" w:hAnsi="Calibri"/>
          <w:b/>
          <w:bCs/>
          <w:color w:val="1F4E79"/>
          <w:sz w:val="32"/>
          <w:szCs w:val="32"/>
        </w:rPr>
        <w:t xml:space="preserve">3. Phase préparation voyage (J-30 à J-1)</w:t>
      </w:r>
    </w:p>
    <w:p>
      <w:pPr>
        <w:spacing w:after="100" w:before="220"/>
      </w:pPr>
      <w:r>
        <w:rPr>
          <w:rFonts w:ascii="Calibri" w:cs="Calibri" w:eastAsia="Calibri" w:hAnsi="Calibri"/>
          <w:b/>
          <w:bCs/>
          <w:color w:val="E87722"/>
          <w:sz w:val="22"/>
          <w:szCs w:val="22"/>
        </w:rPr>
        <w:t xml:space="preserve">3.1. Roadbook voyageur (J-30)</w:t>
      </w:r>
    </w:p>
    <w:p>
      <w:pPr>
        <w:pStyle w:val="ListParagraph"/>
        <w:numPr>
          <w:ilvl w:val="0"/>
          <w:numId w:val="2"/>
        </w:numPr>
        <w:spacing w:after="60" w:line="260"/>
      </w:pPr>
      <w:r>
        <w:rPr>
          <w:rFonts w:ascii="Calibri" w:cs="Calibri" w:eastAsia="Calibri" w:hAnsi="Calibri"/>
          <w:sz w:val="20"/>
          <w:szCs w:val="20"/>
        </w:rPr>
        <w:t xml:space="preserve">Programme jour par jour.</w:t>
      </w:r>
    </w:p>
    <w:p>
      <w:pPr>
        <w:pStyle w:val="ListParagraph"/>
        <w:numPr>
          <w:ilvl w:val="0"/>
          <w:numId w:val="2"/>
        </w:numPr>
        <w:spacing w:after="60" w:line="260"/>
      </w:pPr>
      <w:r>
        <w:rPr>
          <w:rFonts w:ascii="Calibri" w:cs="Calibri" w:eastAsia="Calibri" w:hAnsi="Calibri"/>
          <w:sz w:val="20"/>
          <w:szCs w:val="20"/>
        </w:rPr>
        <w:t xml:space="preserve">Conseils pratiques (climat, monnaie, prises électriques).</w:t>
      </w:r>
    </w:p>
    <w:p>
      <w:pPr>
        <w:pStyle w:val="ListParagraph"/>
        <w:numPr>
          <w:ilvl w:val="0"/>
          <w:numId w:val="2"/>
        </w:numPr>
        <w:spacing w:after="60" w:line="260"/>
      </w:pPr>
      <w:r>
        <w:rPr>
          <w:rFonts w:ascii="Calibri" w:cs="Calibri" w:eastAsia="Calibri" w:hAnsi="Calibri"/>
          <w:sz w:val="20"/>
          <w:szCs w:val="20"/>
        </w:rPr>
        <w:t xml:space="preserve">Coutumes locales (sans stéréotypes — cohérence Charte d'inclusion).</w:t>
      </w:r>
    </w:p>
    <w:p>
      <w:pPr>
        <w:pStyle w:val="ListParagraph"/>
        <w:numPr>
          <w:ilvl w:val="0"/>
          <w:numId w:val="2"/>
        </w:numPr>
        <w:spacing w:after="60" w:line="260"/>
      </w:pPr>
      <w:r>
        <w:rPr>
          <w:rFonts w:ascii="Calibri" w:cs="Calibri" w:eastAsia="Calibri" w:hAnsi="Calibri"/>
          <w:sz w:val="20"/>
          <w:szCs w:val="20"/>
        </w:rPr>
        <w:t xml:space="preserve">Documents nécessaires (cohérence Document administratif voyageur).</w:t>
      </w:r>
    </w:p>
    <w:p>
      <w:pPr>
        <w:pStyle w:val="ListParagraph"/>
        <w:numPr>
          <w:ilvl w:val="0"/>
          <w:numId w:val="2"/>
        </w:numPr>
        <w:spacing w:after="60" w:line="260"/>
      </w:pPr>
      <w:r>
        <w:rPr>
          <w:rFonts w:ascii="Calibri" w:cs="Calibri" w:eastAsia="Calibri" w:hAnsi="Calibri"/>
          <w:sz w:val="20"/>
          <w:szCs w:val="20"/>
        </w:rPr>
        <w:t xml:space="preserve">Recommandations sanitaires (cohérence Fiche santé voyageur international).</w:t>
      </w:r>
    </w:p>
    <w:p>
      <w:pPr>
        <w:spacing w:after="100" w:before="220"/>
      </w:pPr>
      <w:r>
        <w:rPr>
          <w:rFonts w:ascii="Calibri" w:cs="Calibri" w:eastAsia="Calibri" w:hAnsi="Calibri"/>
          <w:b/>
          <w:bCs/>
          <w:color w:val="E87722"/>
          <w:sz w:val="22"/>
          <w:szCs w:val="22"/>
        </w:rPr>
        <w:t xml:space="preserve">3.2. Sensibilisation environnementale (sobre)</w:t>
      </w:r>
    </w:p>
    <w:p>
      <w:pPr>
        <w:pStyle w:val="ListParagraph"/>
        <w:numPr>
          <w:ilvl w:val="0"/>
          <w:numId w:val="2"/>
        </w:numPr>
        <w:spacing w:after="60" w:line="260"/>
      </w:pPr>
      <w:r>
        <w:rPr>
          <w:rFonts w:ascii="Calibri" w:cs="Calibri" w:eastAsia="Calibri" w:hAnsi="Calibri"/>
          <w:sz w:val="20"/>
          <w:szCs w:val="20"/>
        </w:rPr>
        <w:t xml:space="preserve">Émissions estimées du voyage choisi.</w:t>
      </w:r>
    </w:p>
    <w:p>
      <w:pPr>
        <w:pStyle w:val="ListParagraph"/>
        <w:numPr>
          <w:ilvl w:val="0"/>
          <w:numId w:val="2"/>
        </w:numPr>
        <w:spacing w:after="60" w:line="260"/>
      </w:pPr>
      <w:r>
        <w:rPr>
          <w:rFonts w:ascii="Calibri" w:cs="Calibri" w:eastAsia="Calibri" w:hAnsi="Calibri"/>
          <w:sz w:val="20"/>
          <w:szCs w:val="20"/>
        </w:rPr>
        <w:t xml:space="preserve">Possibilité de compensation carbone (option).</w:t>
      </w:r>
    </w:p>
    <w:p>
      <w:pPr>
        <w:pStyle w:val="ListParagraph"/>
        <w:numPr>
          <w:ilvl w:val="0"/>
          <w:numId w:val="2"/>
        </w:numPr>
        <w:spacing w:after="60" w:line="260"/>
      </w:pPr>
      <w:r>
        <w:rPr>
          <w:rFonts w:ascii="Calibri" w:cs="Calibri" w:eastAsia="Calibri" w:hAnsi="Calibri"/>
          <w:sz w:val="20"/>
          <w:szCs w:val="20"/>
        </w:rPr>
        <w:t xml:space="preserve">Éco-gestes simples sur place (eau, énergie, déchets).</w:t>
      </w:r>
    </w:p>
    <w:p>
      <w:pPr>
        <w:pStyle w:val="ListParagraph"/>
        <w:numPr>
          <w:ilvl w:val="0"/>
          <w:numId w:val="2"/>
        </w:numPr>
        <w:spacing w:after="60" w:line="260"/>
      </w:pPr>
      <w:r>
        <w:rPr>
          <w:rFonts w:ascii="Calibri" w:cs="Calibri" w:eastAsia="Calibri" w:hAnsi="Calibri"/>
          <w:sz w:val="20"/>
          <w:szCs w:val="20"/>
        </w:rPr>
        <w:t xml:space="preserve">Refus de l'injonction (« vous devez compenser »).</w:t>
      </w:r>
    </w:p>
    <w:p>
      <w:pPr>
        <w:spacing w:after="100" w:before="220"/>
      </w:pPr>
      <w:r>
        <w:rPr>
          <w:rFonts w:ascii="Calibri" w:cs="Calibri" w:eastAsia="Calibri" w:hAnsi="Calibri"/>
          <w:b/>
          <w:bCs/>
          <w:color w:val="E87722"/>
          <w:sz w:val="22"/>
          <w:szCs w:val="22"/>
        </w:rPr>
        <w:t xml:space="preserve">3.3. Sensibilisation culturelle</w:t>
      </w:r>
    </w:p>
    <w:p>
      <w:pPr>
        <w:pStyle w:val="ListParagraph"/>
        <w:numPr>
          <w:ilvl w:val="0"/>
          <w:numId w:val="2"/>
        </w:numPr>
        <w:spacing w:after="60" w:line="260"/>
      </w:pPr>
      <w:r>
        <w:rPr>
          <w:rFonts w:ascii="Calibri" w:cs="Calibri" w:eastAsia="Calibri" w:hAnsi="Calibri"/>
          <w:sz w:val="20"/>
          <w:szCs w:val="20"/>
        </w:rPr>
        <w:t xml:space="preserve">Spécificités locales (langue, salutations, code vestimentaire).</w:t>
      </w:r>
    </w:p>
    <w:p>
      <w:pPr>
        <w:pStyle w:val="ListParagraph"/>
        <w:numPr>
          <w:ilvl w:val="0"/>
          <w:numId w:val="2"/>
        </w:numPr>
        <w:spacing w:after="60" w:line="260"/>
      </w:pPr>
      <w:r>
        <w:rPr>
          <w:rFonts w:ascii="Calibri" w:cs="Calibri" w:eastAsia="Calibri" w:hAnsi="Calibri"/>
          <w:sz w:val="20"/>
          <w:szCs w:val="20"/>
        </w:rPr>
        <w:t xml:space="preserve">Refus du tourisme culturel extractif (refus du « tourisme zoo »).</w:t>
      </w:r>
    </w:p>
    <w:p>
      <w:pPr>
        <w:pStyle w:val="ListParagraph"/>
        <w:numPr>
          <w:ilvl w:val="0"/>
          <w:numId w:val="2"/>
        </w:numPr>
        <w:spacing w:after="60" w:line="260"/>
      </w:pPr>
      <w:r>
        <w:rPr>
          <w:rFonts w:ascii="Calibri" w:cs="Calibri" w:eastAsia="Calibri" w:hAnsi="Calibri"/>
          <w:sz w:val="20"/>
          <w:szCs w:val="20"/>
        </w:rPr>
        <w:t xml:space="preserve">Encouragement aux rencontres locales authentiques.</w:t>
      </w:r>
    </w:p>
    <w:p>
      <w:pPr>
        <w:pStyle w:val="ListParagraph"/>
        <w:numPr>
          <w:ilvl w:val="0"/>
          <w:numId w:val="2"/>
        </w:numPr>
        <w:spacing w:after="60" w:line="260"/>
      </w:pPr>
      <w:r>
        <w:rPr>
          <w:rFonts w:ascii="Calibri" w:cs="Calibri" w:eastAsia="Calibri" w:hAnsi="Calibri"/>
          <w:sz w:val="20"/>
          <w:szCs w:val="20"/>
        </w:rPr>
        <w:t xml:space="preserve">Mention des sites incontournables ET des sites moins fréquentés (refus de la sur-fréquentation).</w:t>
      </w:r>
    </w:p>
    <w:p>
      <w:pPr>
        <w:spacing w:after="160" w:before="240"/>
      </w:pPr>
      <w:r>
        <w:rPr>
          <w:rFonts w:ascii="Calibri" w:cs="Calibri" w:eastAsia="Calibri" w:hAnsi="Calibri"/>
          <w:b/>
          <w:bCs/>
          <w:color w:val="1F4E79"/>
          <w:sz w:val="32"/>
          <w:szCs w:val="32"/>
        </w:rPr>
        <w:t xml:space="preserve">4. Phase voyage (sur place)</w:t>
      </w:r>
    </w:p>
    <w:p>
      <w:pPr>
        <w:spacing w:after="100" w:before="220"/>
      </w:pPr>
      <w:r>
        <w:rPr>
          <w:rFonts w:ascii="Calibri" w:cs="Calibri" w:eastAsia="Calibri" w:hAnsi="Calibri"/>
          <w:b/>
          <w:bCs/>
          <w:color w:val="E87722"/>
          <w:sz w:val="22"/>
          <w:szCs w:val="22"/>
        </w:rPr>
        <w:t xml:space="preserve">4.1. Briefings accompagnateur (cohérence Méthodologie d'animation accompagnateur)</w:t>
      </w:r>
    </w:p>
    <w:p>
      <w:pPr>
        <w:pStyle w:val="ListParagraph"/>
        <w:numPr>
          <w:ilvl w:val="0"/>
          <w:numId w:val="2"/>
        </w:numPr>
        <w:spacing w:after="60" w:line="260"/>
      </w:pPr>
      <w:r>
        <w:rPr>
          <w:rFonts w:ascii="Calibri" w:cs="Calibri" w:eastAsia="Calibri" w:hAnsi="Calibri"/>
          <w:sz w:val="20"/>
          <w:szCs w:val="20"/>
        </w:rPr>
        <w:t xml:space="preserve">Rappel des éco-gestes en début de voyage.</w:t>
      </w:r>
    </w:p>
    <w:p>
      <w:pPr>
        <w:pStyle w:val="ListParagraph"/>
        <w:numPr>
          <w:ilvl w:val="0"/>
          <w:numId w:val="2"/>
        </w:numPr>
        <w:spacing w:after="60" w:line="260"/>
      </w:pPr>
      <w:r>
        <w:rPr>
          <w:rFonts w:ascii="Calibri" w:cs="Calibri" w:eastAsia="Calibri" w:hAnsi="Calibri"/>
          <w:sz w:val="20"/>
          <w:szCs w:val="20"/>
        </w:rPr>
        <w:t xml:space="preserve">Information sur les coutumes locales.</w:t>
      </w:r>
    </w:p>
    <w:p>
      <w:pPr>
        <w:pStyle w:val="ListParagraph"/>
        <w:numPr>
          <w:ilvl w:val="0"/>
          <w:numId w:val="2"/>
        </w:numPr>
        <w:spacing w:after="60" w:line="260"/>
      </w:pPr>
      <w:r>
        <w:rPr>
          <w:rFonts w:ascii="Calibri" w:cs="Calibri" w:eastAsia="Calibri" w:hAnsi="Calibri"/>
          <w:sz w:val="20"/>
          <w:szCs w:val="20"/>
        </w:rPr>
        <w:t xml:space="preserve">Conseils pratiques quotidiens.</w:t>
      </w:r>
    </w:p>
    <w:p>
      <w:pPr>
        <w:pStyle w:val="ListParagraph"/>
        <w:numPr>
          <w:ilvl w:val="0"/>
          <w:numId w:val="2"/>
        </w:numPr>
        <w:spacing w:after="60" w:line="260"/>
      </w:pPr>
      <w:r>
        <w:rPr>
          <w:rFonts w:ascii="Calibri" w:cs="Calibri" w:eastAsia="Calibri" w:hAnsi="Calibri"/>
          <w:sz w:val="20"/>
          <w:szCs w:val="20"/>
        </w:rPr>
        <w:t xml:space="preserve">Refus de la moralisation.</w:t>
      </w:r>
    </w:p>
    <w:p>
      <w:pPr>
        <w:spacing w:after="100" w:before="220"/>
      </w:pPr>
      <w:r>
        <w:rPr>
          <w:rFonts w:ascii="Calibri" w:cs="Calibri" w:eastAsia="Calibri" w:hAnsi="Calibri"/>
          <w:b/>
          <w:bCs/>
          <w:color w:val="E87722"/>
          <w:sz w:val="22"/>
          <w:szCs w:val="22"/>
        </w:rPr>
        <w:t xml:space="preserve">4.2. Rencontres locales authentiques</w:t>
      </w:r>
    </w:p>
    <w:p>
      <w:pPr>
        <w:pStyle w:val="ListParagraph"/>
        <w:numPr>
          <w:ilvl w:val="0"/>
          <w:numId w:val="2"/>
        </w:numPr>
        <w:spacing w:after="60" w:line="260"/>
      </w:pPr>
      <w:r>
        <w:rPr>
          <w:rFonts w:ascii="Calibri" w:cs="Calibri" w:eastAsia="Calibri" w:hAnsi="Calibri"/>
          <w:sz w:val="20"/>
          <w:szCs w:val="20"/>
        </w:rPr>
        <w:t xml:space="preserve">Au moins 1 activité « engagement local » par voyage (cohérence Méthodologie de création de voyage).</w:t>
      </w:r>
    </w:p>
    <w:p>
      <w:pPr>
        <w:pStyle w:val="ListParagraph"/>
        <w:numPr>
          <w:ilvl w:val="0"/>
          <w:numId w:val="2"/>
        </w:numPr>
        <w:spacing w:after="60" w:line="260"/>
      </w:pPr>
      <w:r>
        <w:rPr>
          <w:rFonts w:ascii="Calibri" w:cs="Calibri" w:eastAsia="Calibri" w:hAnsi="Calibri"/>
          <w:sz w:val="20"/>
          <w:szCs w:val="20"/>
        </w:rPr>
        <w:t xml:space="preserve">Rencontre artisans, agriculteurs, communautés locales (avec accord).</w:t>
      </w:r>
    </w:p>
    <w:p>
      <w:pPr>
        <w:pStyle w:val="ListParagraph"/>
        <w:numPr>
          <w:ilvl w:val="0"/>
          <w:numId w:val="2"/>
        </w:numPr>
        <w:spacing w:after="60" w:line="260"/>
      </w:pPr>
      <w:r>
        <w:rPr>
          <w:rFonts w:ascii="Calibri" w:cs="Calibri" w:eastAsia="Calibri" w:hAnsi="Calibri"/>
          <w:sz w:val="20"/>
          <w:szCs w:val="20"/>
        </w:rPr>
        <w:t xml:space="preserve">Refus de la mise en scène artificielle.</w:t>
      </w:r>
    </w:p>
    <w:p>
      <w:pPr>
        <w:pStyle w:val="ListParagraph"/>
        <w:numPr>
          <w:ilvl w:val="0"/>
          <w:numId w:val="2"/>
        </w:numPr>
        <w:spacing w:after="60" w:line="260"/>
      </w:pPr>
      <w:r>
        <w:rPr>
          <w:rFonts w:ascii="Calibri" w:cs="Calibri" w:eastAsia="Calibri" w:hAnsi="Calibri"/>
          <w:sz w:val="20"/>
          <w:szCs w:val="20"/>
        </w:rPr>
        <w:t xml:space="preserve">Refus du « tourisme zoo » (visite de communautés vulnérables sans dignité).</w:t>
      </w:r>
    </w:p>
    <w:p>
      <w:pPr>
        <w:spacing w:after="100" w:before="220"/>
      </w:pPr>
      <w:r>
        <w:rPr>
          <w:rFonts w:ascii="Calibri" w:cs="Calibri" w:eastAsia="Calibri" w:hAnsi="Calibri"/>
          <w:b/>
          <w:bCs/>
          <w:color w:val="E87722"/>
          <w:sz w:val="22"/>
          <w:szCs w:val="22"/>
        </w:rPr>
        <w:t xml:space="preserve">4.3. Information complémentaire</w:t>
      </w:r>
    </w:p>
    <w:p>
      <w:pPr>
        <w:pStyle w:val="ListParagraph"/>
        <w:numPr>
          <w:ilvl w:val="0"/>
          <w:numId w:val="2"/>
        </w:numPr>
        <w:spacing w:after="60" w:line="260"/>
      </w:pPr>
      <w:r>
        <w:rPr>
          <w:rFonts w:ascii="Calibri" w:cs="Calibri" w:eastAsia="Calibri" w:hAnsi="Calibri"/>
          <w:sz w:val="20"/>
          <w:szCs w:val="20"/>
        </w:rPr>
        <w:t xml:space="preserve">Histoire locale, contexte sociétal.</w:t>
      </w:r>
    </w:p>
    <w:p>
      <w:pPr>
        <w:pStyle w:val="ListParagraph"/>
        <w:numPr>
          <w:ilvl w:val="0"/>
          <w:numId w:val="2"/>
        </w:numPr>
        <w:spacing w:after="60" w:line="260"/>
      </w:pPr>
      <w:r>
        <w:rPr>
          <w:rFonts w:ascii="Calibri" w:cs="Calibri" w:eastAsia="Calibri" w:hAnsi="Calibri"/>
          <w:sz w:val="20"/>
          <w:szCs w:val="20"/>
        </w:rPr>
        <w:t xml:space="preserve">Sites moins fréquentés à découvrir si voyageur souhaite.</w:t>
      </w:r>
    </w:p>
    <w:p>
      <w:pPr>
        <w:pStyle w:val="ListParagraph"/>
        <w:numPr>
          <w:ilvl w:val="0"/>
          <w:numId w:val="2"/>
        </w:numPr>
        <w:spacing w:after="60" w:line="260"/>
      </w:pPr>
      <w:r>
        <w:rPr>
          <w:rFonts w:ascii="Calibri" w:cs="Calibri" w:eastAsia="Calibri" w:hAnsi="Calibri"/>
          <w:sz w:val="20"/>
          <w:szCs w:val="20"/>
        </w:rPr>
        <w:t xml:space="preserve">Bonnes adresses recommandées (commerces locaux, ESS).</w:t>
      </w:r>
    </w:p>
    <w:p>
      <w:pPr>
        <w:spacing w:after="160" w:before="240"/>
      </w:pPr>
      <w:r>
        <w:rPr>
          <w:rFonts w:ascii="Calibri" w:cs="Calibri" w:eastAsia="Calibri" w:hAnsi="Calibri"/>
          <w:b/>
          <w:bCs/>
          <w:color w:val="1F4E79"/>
          <w:sz w:val="32"/>
          <w:szCs w:val="32"/>
        </w:rPr>
        <w:t xml:space="preserve">5. Phase post-voyage</w:t>
      </w:r>
    </w:p>
    <w:p>
      <w:pPr>
        <w:spacing w:after="100" w:before="220"/>
      </w:pPr>
      <w:r>
        <w:rPr>
          <w:rFonts w:ascii="Calibri" w:cs="Calibri" w:eastAsia="Calibri" w:hAnsi="Calibri"/>
          <w:b/>
          <w:bCs/>
          <w:color w:val="E87722"/>
          <w:sz w:val="22"/>
          <w:szCs w:val="22"/>
        </w:rPr>
        <w:t xml:space="preserve">5.1. Email J+1 (cohérence Onboarding voyageur)</w:t>
      </w:r>
    </w:p>
    <w:p>
      <w:pPr>
        <w:pStyle w:val="ListParagraph"/>
        <w:numPr>
          <w:ilvl w:val="0"/>
          <w:numId w:val="2"/>
        </w:numPr>
        <w:spacing w:after="60" w:line="260"/>
      </w:pPr>
      <w:r>
        <w:rPr>
          <w:rFonts w:ascii="Calibri" w:cs="Calibri" w:eastAsia="Calibri" w:hAnsi="Calibri"/>
          <w:sz w:val="20"/>
          <w:szCs w:val="20"/>
        </w:rPr>
        <w:t xml:space="preserve">Remerciement personnalisé.</w:t>
      </w:r>
    </w:p>
    <w:p>
      <w:pPr>
        <w:pStyle w:val="ListParagraph"/>
        <w:numPr>
          <w:ilvl w:val="0"/>
          <w:numId w:val="2"/>
        </w:numPr>
        <w:spacing w:after="60" w:line="260"/>
      </w:pPr>
      <w:r>
        <w:rPr>
          <w:rFonts w:ascii="Calibri" w:cs="Calibri" w:eastAsia="Calibri" w:hAnsi="Calibri"/>
          <w:sz w:val="20"/>
          <w:szCs w:val="20"/>
        </w:rPr>
        <w:t xml:space="preserve">Photos / vidéos collectives (avec accords).</w:t>
      </w:r>
    </w:p>
    <w:p>
      <w:pPr>
        <w:pStyle w:val="ListParagraph"/>
        <w:numPr>
          <w:ilvl w:val="0"/>
          <w:numId w:val="2"/>
        </w:numPr>
        <w:spacing w:after="60" w:line="260"/>
      </w:pPr>
      <w:r>
        <w:rPr>
          <w:rFonts w:ascii="Calibri" w:cs="Calibri" w:eastAsia="Calibri" w:hAnsi="Calibri"/>
          <w:sz w:val="20"/>
          <w:szCs w:val="20"/>
        </w:rPr>
        <w:t xml:space="preserve">Demande NPS et avis.</w:t>
      </w:r>
    </w:p>
    <w:p>
      <w:pPr>
        <w:spacing w:after="100" w:before="220"/>
      </w:pPr>
      <w:r>
        <w:rPr>
          <w:rFonts w:ascii="Calibri" w:cs="Calibri" w:eastAsia="Calibri" w:hAnsi="Calibri"/>
          <w:b/>
          <w:bCs/>
          <w:color w:val="E87722"/>
          <w:sz w:val="22"/>
          <w:szCs w:val="22"/>
        </w:rPr>
        <w:t xml:space="preserve">5.2. Carte postale digitale J+15</w:t>
      </w:r>
    </w:p>
    <w:p>
      <w:pPr>
        <w:pStyle w:val="ListParagraph"/>
        <w:numPr>
          <w:ilvl w:val="0"/>
          <w:numId w:val="2"/>
        </w:numPr>
        <w:spacing w:after="60" w:line="260"/>
      </w:pPr>
      <w:r>
        <w:rPr>
          <w:rFonts w:ascii="Calibri" w:cs="Calibri" w:eastAsia="Calibri" w:hAnsi="Calibri"/>
          <w:sz w:val="20"/>
          <w:szCs w:val="20"/>
        </w:rPr>
        <w:t xml:space="preserve">Récapitulatif des temps forts du voyage.</w:t>
      </w:r>
    </w:p>
    <w:p>
      <w:pPr>
        <w:pStyle w:val="ListParagraph"/>
        <w:numPr>
          <w:ilvl w:val="0"/>
          <w:numId w:val="2"/>
        </w:numPr>
        <w:spacing w:after="60" w:line="260"/>
      </w:pPr>
      <w:r>
        <w:rPr>
          <w:rFonts w:ascii="Calibri" w:cs="Calibri" w:eastAsia="Calibri" w:hAnsi="Calibri"/>
          <w:sz w:val="20"/>
          <w:szCs w:val="20"/>
        </w:rPr>
        <w:t xml:space="preserve">Anecdotes vécues (avec accord des voyageurs concernés).</w:t>
      </w:r>
    </w:p>
    <w:p>
      <w:pPr>
        <w:pStyle w:val="ListParagraph"/>
        <w:numPr>
          <w:ilvl w:val="0"/>
          <w:numId w:val="2"/>
        </w:numPr>
        <w:spacing w:after="60" w:line="260"/>
      </w:pPr>
      <w:r>
        <w:rPr>
          <w:rFonts w:ascii="Calibri" w:cs="Calibri" w:eastAsia="Calibri" w:hAnsi="Calibri"/>
          <w:sz w:val="20"/>
          <w:szCs w:val="20"/>
        </w:rPr>
        <w:t xml:space="preserve">Possibilité de prolonger l'aventure (programme Famille, parrainage).</w:t>
      </w:r>
    </w:p>
    <w:p>
      <w:pPr>
        <w:spacing w:after="100" w:before="220"/>
      </w:pPr>
      <w:r>
        <w:rPr>
          <w:rFonts w:ascii="Calibri" w:cs="Calibri" w:eastAsia="Calibri" w:hAnsi="Calibri"/>
          <w:b/>
          <w:bCs/>
          <w:color w:val="E87722"/>
          <w:sz w:val="22"/>
          <w:szCs w:val="22"/>
        </w:rPr>
        <w:t xml:space="preserve">5.3. Communauté Eventy Famille</w:t>
      </w:r>
    </w:p>
    <w:p>
      <w:pPr>
        <w:pStyle w:val="ListParagraph"/>
        <w:numPr>
          <w:ilvl w:val="0"/>
          <w:numId w:val="2"/>
        </w:numPr>
        <w:spacing w:after="60" w:line="260"/>
      </w:pPr>
      <w:r>
        <w:rPr>
          <w:rFonts w:ascii="Calibri" w:cs="Calibri" w:eastAsia="Calibri" w:hAnsi="Calibri"/>
          <w:sz w:val="20"/>
          <w:szCs w:val="20"/>
        </w:rPr>
        <w:t xml:space="preserve">Cohérence avec Plan d'animation communauté Famille.</w:t>
      </w:r>
    </w:p>
    <w:p>
      <w:pPr>
        <w:pStyle w:val="ListParagraph"/>
        <w:numPr>
          <w:ilvl w:val="0"/>
          <w:numId w:val="2"/>
        </w:numPr>
        <w:spacing w:after="60" w:line="260"/>
      </w:pPr>
      <w:r>
        <w:rPr>
          <w:rFonts w:ascii="Calibri" w:cs="Calibri" w:eastAsia="Calibri" w:hAnsi="Calibri"/>
          <w:sz w:val="20"/>
          <w:szCs w:val="20"/>
        </w:rPr>
        <w:t xml:space="preserve">Échange entre voyageurs (entraide, recommandations).</w:t>
      </w:r>
    </w:p>
    <w:p>
      <w:pPr>
        <w:pStyle w:val="ListParagraph"/>
        <w:numPr>
          <w:ilvl w:val="0"/>
          <w:numId w:val="2"/>
        </w:numPr>
        <w:spacing w:after="60" w:line="260"/>
      </w:pPr>
      <w:r>
        <w:rPr>
          <w:rFonts w:ascii="Calibri" w:cs="Calibri" w:eastAsia="Calibri" w:hAnsi="Calibri"/>
          <w:sz w:val="20"/>
          <w:szCs w:val="20"/>
        </w:rPr>
        <w:t xml:space="preserve">Possibilité de proposer une destination.</w:t>
      </w:r>
    </w:p>
    <w:p>
      <w:pPr>
        <w:spacing w:after="100" w:before="220"/>
      </w:pPr>
      <w:r>
        <w:rPr>
          <w:rFonts w:ascii="Calibri" w:cs="Calibri" w:eastAsia="Calibri" w:hAnsi="Calibri"/>
          <w:b/>
          <w:bCs/>
          <w:color w:val="E87722"/>
          <w:sz w:val="22"/>
          <w:szCs w:val="22"/>
        </w:rPr>
        <w:t xml:space="preserve">5.4. Approfondissement</w:t>
      </w:r>
    </w:p>
    <w:p>
      <w:pPr>
        <w:pStyle w:val="ListParagraph"/>
        <w:numPr>
          <w:ilvl w:val="0"/>
          <w:numId w:val="2"/>
        </w:numPr>
        <w:spacing w:after="60" w:line="260"/>
      </w:pPr>
      <w:r>
        <w:rPr>
          <w:rFonts w:ascii="Calibri" w:cs="Calibri" w:eastAsia="Calibri" w:hAnsi="Calibri"/>
          <w:sz w:val="20"/>
          <w:szCs w:val="20"/>
        </w:rPr>
        <w:t xml:space="preserve">Newsletter mensuelle Famille avec contenus inspirationnels.</w:t>
      </w:r>
    </w:p>
    <w:p>
      <w:pPr>
        <w:pStyle w:val="ListParagraph"/>
        <w:numPr>
          <w:ilvl w:val="0"/>
          <w:numId w:val="2"/>
        </w:numPr>
        <w:spacing w:after="60" w:line="260"/>
      </w:pPr>
      <w:r>
        <w:rPr>
          <w:rFonts w:ascii="Calibri" w:cs="Calibri" w:eastAsia="Calibri" w:hAnsi="Calibri"/>
          <w:sz w:val="20"/>
          <w:szCs w:val="20"/>
        </w:rPr>
        <w:t xml:space="preserve">Articles blog sur destinations et cultures.</w:t>
      </w:r>
    </w:p>
    <w:p>
      <w:pPr>
        <w:pStyle w:val="ListParagraph"/>
        <w:numPr>
          <w:ilvl w:val="0"/>
          <w:numId w:val="2"/>
        </w:numPr>
        <w:spacing w:after="60" w:line="260"/>
      </w:pPr>
      <w:r>
        <w:rPr>
          <w:rFonts w:ascii="Calibri" w:cs="Calibri" w:eastAsia="Calibri" w:hAnsi="Calibri"/>
          <w:sz w:val="20"/>
          <w:szCs w:val="20"/>
        </w:rPr>
        <w:t xml:space="preserve">Possibilité de témoignage (cohérence Politique image et droit à l'image).</w:t>
      </w:r>
    </w:p>
    <w:p>
      <w:pPr>
        <w:spacing w:after="160" w:before="240"/>
      </w:pPr>
      <w:r>
        <w:rPr>
          <w:rFonts w:ascii="Calibri" w:cs="Calibri" w:eastAsia="Calibri" w:hAnsi="Calibri"/>
          <w:b/>
          <w:bCs/>
          <w:color w:val="1F4E79"/>
          <w:sz w:val="32"/>
          <w:szCs w:val="32"/>
        </w:rPr>
        <w:t xml:space="preserve">6. Sujets de sensibilisation prioritaires</w:t>
      </w:r>
    </w:p>
    <w:p>
      <w:pPr>
        <w:spacing w:after="100" w:before="220"/>
      </w:pPr>
      <w:r>
        <w:rPr>
          <w:rFonts w:ascii="Calibri" w:cs="Calibri" w:eastAsia="Calibri" w:hAnsi="Calibri"/>
          <w:b/>
          <w:bCs/>
          <w:color w:val="E87722"/>
          <w:sz w:val="22"/>
          <w:szCs w:val="22"/>
        </w:rPr>
        <w:t xml:space="preserve">6.1. Empreinte carbone (cohérence Charte engagement carbone)</w:t>
      </w:r>
    </w:p>
    <w:p>
      <w:pPr>
        <w:pStyle w:val="ListParagraph"/>
        <w:numPr>
          <w:ilvl w:val="0"/>
          <w:numId w:val="2"/>
        </w:numPr>
        <w:spacing w:after="60" w:line="260"/>
      </w:pPr>
      <w:r>
        <w:rPr>
          <w:rFonts w:ascii="Calibri" w:cs="Calibri" w:eastAsia="Calibri" w:hAnsi="Calibri"/>
          <w:sz w:val="20"/>
          <w:szCs w:val="20"/>
        </w:rPr>
        <w:t xml:space="preserve">Comprendre l'empreinte de son voyage.</w:t>
      </w:r>
    </w:p>
    <w:p>
      <w:pPr>
        <w:pStyle w:val="ListParagraph"/>
        <w:numPr>
          <w:ilvl w:val="0"/>
          <w:numId w:val="2"/>
        </w:numPr>
        <w:spacing w:after="60" w:line="260"/>
      </w:pPr>
      <w:r>
        <w:rPr>
          <w:rFonts w:ascii="Calibri" w:cs="Calibri" w:eastAsia="Calibri" w:hAnsi="Calibri"/>
          <w:sz w:val="20"/>
          <w:szCs w:val="20"/>
        </w:rPr>
        <w:t xml:space="preserve">Comparaison vs voyage individuel.</w:t>
      </w:r>
    </w:p>
    <w:p>
      <w:pPr>
        <w:pStyle w:val="ListParagraph"/>
        <w:numPr>
          <w:ilvl w:val="0"/>
          <w:numId w:val="2"/>
        </w:numPr>
        <w:spacing w:after="60" w:line="260"/>
      </w:pPr>
      <w:r>
        <w:rPr>
          <w:rFonts w:ascii="Calibri" w:cs="Calibri" w:eastAsia="Calibri" w:hAnsi="Calibri"/>
          <w:sz w:val="20"/>
          <w:szCs w:val="20"/>
        </w:rPr>
        <w:t xml:space="preserve">Possibilité de compensation.</w:t>
      </w:r>
    </w:p>
    <w:p>
      <w:pPr>
        <w:pStyle w:val="ListParagraph"/>
        <w:numPr>
          <w:ilvl w:val="0"/>
          <w:numId w:val="2"/>
        </w:numPr>
        <w:spacing w:after="60" w:line="260"/>
      </w:pPr>
      <w:r>
        <w:rPr>
          <w:rFonts w:ascii="Calibri" w:cs="Calibri" w:eastAsia="Calibri" w:hAnsi="Calibri"/>
          <w:sz w:val="20"/>
          <w:szCs w:val="20"/>
        </w:rPr>
        <w:t xml:space="preserve">Modes de transport alternatifs (train, bas-carbone).</w:t>
      </w:r>
    </w:p>
    <w:p>
      <w:pPr>
        <w:spacing w:after="100" w:before="220"/>
      </w:pPr>
      <w:r>
        <w:rPr>
          <w:rFonts w:ascii="Calibri" w:cs="Calibri" w:eastAsia="Calibri" w:hAnsi="Calibri"/>
          <w:b/>
          <w:bCs/>
          <w:color w:val="E87722"/>
          <w:sz w:val="22"/>
          <w:szCs w:val="22"/>
        </w:rPr>
        <w:t xml:space="preserve">6.2. Surtourisme (cohérence Grille de décision destinations)</w:t>
      </w:r>
    </w:p>
    <w:p>
      <w:pPr>
        <w:pStyle w:val="ListParagraph"/>
        <w:numPr>
          <w:ilvl w:val="0"/>
          <w:numId w:val="2"/>
        </w:numPr>
        <w:spacing w:after="60" w:line="260"/>
      </w:pPr>
      <w:r>
        <w:rPr>
          <w:rFonts w:ascii="Calibri" w:cs="Calibri" w:eastAsia="Calibri" w:hAnsi="Calibri"/>
          <w:sz w:val="20"/>
          <w:szCs w:val="20"/>
        </w:rPr>
        <w:t xml:space="preserve">Comprendre le concept et les enjeux.</w:t>
      </w:r>
    </w:p>
    <w:p>
      <w:pPr>
        <w:pStyle w:val="ListParagraph"/>
        <w:numPr>
          <w:ilvl w:val="0"/>
          <w:numId w:val="2"/>
        </w:numPr>
        <w:spacing w:after="60" w:line="260"/>
      </w:pPr>
      <w:r>
        <w:rPr>
          <w:rFonts w:ascii="Calibri" w:cs="Calibri" w:eastAsia="Calibri" w:hAnsi="Calibri"/>
          <w:sz w:val="20"/>
          <w:szCs w:val="20"/>
        </w:rPr>
        <w:t xml:space="preserve">Eventy refuse les destinations surtouristiques (en saison pic).</w:t>
      </w:r>
    </w:p>
    <w:p>
      <w:pPr>
        <w:pStyle w:val="ListParagraph"/>
        <w:numPr>
          <w:ilvl w:val="0"/>
          <w:numId w:val="2"/>
        </w:numPr>
        <w:spacing w:after="60" w:line="260"/>
      </w:pPr>
      <w:r>
        <w:rPr>
          <w:rFonts w:ascii="Calibri" w:cs="Calibri" w:eastAsia="Calibri" w:hAnsi="Calibri"/>
          <w:sz w:val="20"/>
          <w:szCs w:val="20"/>
        </w:rPr>
        <w:t xml:space="preserve">Encouragement à la saisonnalité raisonnée.</w:t>
      </w:r>
    </w:p>
    <w:p>
      <w:pPr>
        <w:spacing w:after="100" w:before="220"/>
      </w:pPr>
      <w:r>
        <w:rPr>
          <w:rFonts w:ascii="Calibri" w:cs="Calibri" w:eastAsia="Calibri" w:hAnsi="Calibri"/>
          <w:b/>
          <w:bCs/>
          <w:color w:val="E87722"/>
          <w:sz w:val="22"/>
          <w:szCs w:val="22"/>
        </w:rPr>
        <w:t xml:space="preserve">6.3. Économie locale et circulaire</w:t>
      </w:r>
    </w:p>
    <w:p>
      <w:pPr>
        <w:pStyle w:val="ListParagraph"/>
        <w:numPr>
          <w:ilvl w:val="0"/>
          <w:numId w:val="2"/>
        </w:numPr>
        <w:spacing w:after="60" w:line="260"/>
      </w:pPr>
      <w:r>
        <w:rPr>
          <w:rFonts w:ascii="Calibri" w:cs="Calibri" w:eastAsia="Calibri" w:hAnsi="Calibri"/>
          <w:sz w:val="20"/>
          <w:szCs w:val="20"/>
        </w:rPr>
        <w:t xml:space="preserve">Soutien aux acteurs locaux (HRA, artisans).</w:t>
      </w:r>
    </w:p>
    <w:p>
      <w:pPr>
        <w:pStyle w:val="ListParagraph"/>
        <w:numPr>
          <w:ilvl w:val="0"/>
          <w:numId w:val="2"/>
        </w:numPr>
        <w:spacing w:after="60" w:line="260"/>
      </w:pPr>
      <w:r>
        <w:rPr>
          <w:rFonts w:ascii="Calibri" w:cs="Calibri" w:eastAsia="Calibri" w:hAnsi="Calibri"/>
          <w:sz w:val="20"/>
          <w:szCs w:val="20"/>
        </w:rPr>
        <w:t xml:space="preserve">Achats responsables (cohérence Politique d'achats responsables).</w:t>
      </w:r>
    </w:p>
    <w:p>
      <w:pPr>
        <w:pStyle w:val="ListParagraph"/>
        <w:numPr>
          <w:ilvl w:val="0"/>
          <w:numId w:val="2"/>
        </w:numPr>
        <w:spacing w:after="60" w:line="260"/>
      </w:pPr>
      <w:r>
        <w:rPr>
          <w:rFonts w:ascii="Calibri" w:cs="Calibri" w:eastAsia="Calibri" w:hAnsi="Calibri"/>
          <w:sz w:val="20"/>
          <w:szCs w:val="20"/>
        </w:rPr>
        <w:t xml:space="preserve">Refus de l'extraction et de l'évasion fiscale touristique.</w:t>
      </w:r>
    </w:p>
    <w:p>
      <w:pPr>
        <w:spacing w:after="100" w:before="220"/>
      </w:pPr>
      <w:r>
        <w:rPr>
          <w:rFonts w:ascii="Calibri" w:cs="Calibri" w:eastAsia="Calibri" w:hAnsi="Calibri"/>
          <w:b/>
          <w:bCs/>
          <w:color w:val="E87722"/>
          <w:sz w:val="22"/>
          <w:szCs w:val="22"/>
        </w:rPr>
        <w:t xml:space="preserve">6.4. Diversité et respect</w:t>
      </w:r>
    </w:p>
    <w:p>
      <w:pPr>
        <w:pStyle w:val="ListParagraph"/>
        <w:numPr>
          <w:ilvl w:val="0"/>
          <w:numId w:val="2"/>
        </w:numPr>
        <w:spacing w:after="60" w:line="260"/>
      </w:pPr>
      <w:r>
        <w:rPr>
          <w:rFonts w:ascii="Calibri" w:cs="Calibri" w:eastAsia="Calibri" w:hAnsi="Calibri"/>
          <w:sz w:val="20"/>
          <w:szCs w:val="20"/>
        </w:rPr>
        <w:t xml:space="preserve">Respect des coutumes locales sans relativisme excessif.</w:t>
      </w:r>
    </w:p>
    <w:p>
      <w:pPr>
        <w:pStyle w:val="ListParagraph"/>
        <w:numPr>
          <w:ilvl w:val="0"/>
          <w:numId w:val="2"/>
        </w:numPr>
        <w:spacing w:after="60" w:line="260"/>
      </w:pPr>
      <w:r>
        <w:rPr>
          <w:rFonts w:ascii="Calibri" w:cs="Calibri" w:eastAsia="Calibri" w:hAnsi="Calibri"/>
          <w:sz w:val="20"/>
          <w:szCs w:val="20"/>
        </w:rPr>
        <w:t xml:space="preserve">Refus du regard extractif sur les populations.</w:t>
      </w:r>
    </w:p>
    <w:p>
      <w:pPr>
        <w:pStyle w:val="ListParagraph"/>
        <w:numPr>
          <w:ilvl w:val="0"/>
          <w:numId w:val="2"/>
        </w:numPr>
        <w:spacing w:after="60" w:line="260"/>
      </w:pPr>
      <w:r>
        <w:rPr>
          <w:rFonts w:ascii="Calibri" w:cs="Calibri" w:eastAsia="Calibri" w:hAnsi="Calibri"/>
          <w:sz w:val="20"/>
          <w:szCs w:val="20"/>
        </w:rPr>
        <w:t xml:space="preserve">Cohérence avec Charte d'inclusion et diversité.</w:t>
      </w:r>
    </w:p>
    <w:p>
      <w:pPr>
        <w:spacing w:after="100" w:before="220"/>
      </w:pPr>
      <w:r>
        <w:rPr>
          <w:rFonts w:ascii="Calibri" w:cs="Calibri" w:eastAsia="Calibri" w:hAnsi="Calibri"/>
          <w:b/>
          <w:bCs/>
          <w:color w:val="E87722"/>
          <w:sz w:val="22"/>
          <w:szCs w:val="22"/>
        </w:rPr>
        <w:t xml:space="preserve">6.5. Sécurité et santé</w:t>
      </w:r>
    </w:p>
    <w:p>
      <w:pPr>
        <w:pStyle w:val="ListParagraph"/>
        <w:numPr>
          <w:ilvl w:val="0"/>
          <w:numId w:val="2"/>
        </w:numPr>
        <w:spacing w:after="60" w:line="260"/>
      </w:pPr>
      <w:r>
        <w:rPr>
          <w:rFonts w:ascii="Calibri" w:cs="Calibri" w:eastAsia="Calibri" w:hAnsi="Calibri"/>
          <w:sz w:val="20"/>
          <w:szCs w:val="20"/>
        </w:rPr>
        <w:t xml:space="preserve">Cohérence avec Consignes sécurité destination + Fiche santé voyageur.</w:t>
      </w:r>
    </w:p>
    <w:p>
      <w:pPr>
        <w:pStyle w:val="ListParagraph"/>
        <w:numPr>
          <w:ilvl w:val="0"/>
          <w:numId w:val="2"/>
        </w:numPr>
        <w:spacing w:after="60" w:line="260"/>
      </w:pPr>
      <w:r>
        <w:rPr>
          <w:rFonts w:ascii="Calibri" w:cs="Calibri" w:eastAsia="Calibri" w:hAnsi="Calibri"/>
          <w:sz w:val="20"/>
          <w:szCs w:val="20"/>
        </w:rPr>
        <w:t xml:space="preserve">Information factuelle, pas anxiogène.</w:t>
      </w:r>
    </w:p>
    <w:p>
      <w:pPr>
        <w:spacing w:after="160" w:before="240"/>
      </w:pPr>
      <w:r>
        <w:rPr>
          <w:rFonts w:ascii="Calibri" w:cs="Calibri" w:eastAsia="Calibri" w:hAnsi="Calibri"/>
          <w:b/>
          <w:bCs/>
          <w:color w:val="1F4E79"/>
          <w:sz w:val="32"/>
          <w:szCs w:val="32"/>
        </w:rPr>
        <w:t xml:space="preserve">7. Outils pédagogiques</w:t>
      </w:r>
    </w:p>
    <w:p>
      <w:pPr>
        <w:pStyle w:val="ListParagraph"/>
        <w:numPr>
          <w:ilvl w:val="0"/>
          <w:numId w:val="2"/>
        </w:numPr>
        <w:spacing w:after="60" w:line="260"/>
      </w:pPr>
      <w:r>
        <w:rPr>
          <w:rFonts w:ascii="Calibri" w:cs="Calibri" w:eastAsia="Calibri" w:hAnsi="Calibri"/>
          <w:sz w:val="20"/>
          <w:szCs w:val="20"/>
        </w:rPr>
        <w:t xml:space="preserve">Roadbook voyageur (envoyé J-30).</w:t>
      </w:r>
    </w:p>
    <w:p>
      <w:pPr>
        <w:pStyle w:val="ListParagraph"/>
        <w:numPr>
          <w:ilvl w:val="0"/>
          <w:numId w:val="2"/>
        </w:numPr>
        <w:spacing w:after="60" w:line="260"/>
      </w:pPr>
      <w:r>
        <w:rPr>
          <w:rFonts w:ascii="Calibri" w:cs="Calibri" w:eastAsia="Calibri" w:hAnsi="Calibri"/>
          <w:sz w:val="20"/>
          <w:szCs w:val="20"/>
        </w:rPr>
        <w:t xml:space="preserve">Manuel voyageur autonome (handbook pratique).</w:t>
      </w:r>
    </w:p>
    <w:p>
      <w:pPr>
        <w:pStyle w:val="ListParagraph"/>
        <w:numPr>
          <w:ilvl w:val="0"/>
          <w:numId w:val="2"/>
        </w:numPr>
        <w:spacing w:after="60" w:line="260"/>
      </w:pPr>
      <w:r>
        <w:rPr>
          <w:rFonts w:ascii="Calibri" w:cs="Calibri" w:eastAsia="Calibri" w:hAnsi="Calibri"/>
          <w:sz w:val="20"/>
          <w:szCs w:val="20"/>
        </w:rPr>
        <w:t xml:space="preserve">Glossaire voyage (35+ termes).</w:t>
      </w:r>
    </w:p>
    <w:p>
      <w:pPr>
        <w:pStyle w:val="ListParagraph"/>
        <w:numPr>
          <w:ilvl w:val="0"/>
          <w:numId w:val="2"/>
        </w:numPr>
        <w:spacing w:after="60" w:line="260"/>
      </w:pPr>
      <w:r>
        <w:rPr>
          <w:rFonts w:ascii="Calibri" w:cs="Calibri" w:eastAsia="Calibri" w:hAnsi="Calibri"/>
          <w:sz w:val="20"/>
          <w:szCs w:val="20"/>
        </w:rPr>
        <w:t xml:space="preserve">FAQ voyageurs (23 questions).</w:t>
      </w:r>
    </w:p>
    <w:p>
      <w:pPr>
        <w:pStyle w:val="ListParagraph"/>
        <w:numPr>
          <w:ilvl w:val="0"/>
          <w:numId w:val="2"/>
        </w:numPr>
        <w:spacing w:after="60" w:line="260"/>
      </w:pPr>
      <w:r>
        <w:rPr>
          <w:rFonts w:ascii="Calibri" w:cs="Calibri" w:eastAsia="Calibri" w:hAnsi="Calibri"/>
          <w:sz w:val="20"/>
          <w:szCs w:val="20"/>
        </w:rPr>
        <w:t xml:space="preserve">Articles blog dédiés.</w:t>
      </w:r>
    </w:p>
    <w:p>
      <w:pPr>
        <w:pStyle w:val="ListParagraph"/>
        <w:numPr>
          <w:ilvl w:val="0"/>
          <w:numId w:val="2"/>
        </w:numPr>
        <w:spacing w:after="60" w:line="260"/>
      </w:pPr>
      <w:r>
        <w:rPr>
          <w:rFonts w:ascii="Calibri" w:cs="Calibri" w:eastAsia="Calibri" w:hAnsi="Calibri"/>
          <w:sz w:val="20"/>
          <w:szCs w:val="20"/>
        </w:rPr>
        <w:t xml:space="preserve">Vidéos courtes thématiques (cible An 2-3).</w:t>
      </w:r>
    </w:p>
    <w:p>
      <w:pPr>
        <w:pStyle w:val="ListParagraph"/>
        <w:numPr>
          <w:ilvl w:val="0"/>
          <w:numId w:val="2"/>
        </w:numPr>
        <w:spacing w:after="60" w:line="260"/>
      </w:pPr>
      <w:r>
        <w:rPr>
          <w:rFonts w:ascii="Calibri" w:cs="Calibri" w:eastAsia="Calibri" w:hAnsi="Calibri"/>
          <w:sz w:val="20"/>
          <w:szCs w:val="20"/>
        </w:rPr>
        <w:t xml:space="preserve">Briefings accompagnateurs (sur place).</w:t>
      </w:r>
    </w:p>
    <w:p>
      <w:pPr>
        <w:spacing w:after="160" w:before="240"/>
      </w:pPr>
      <w:r>
        <w:rPr>
          <w:rFonts w:ascii="Calibri" w:cs="Calibri" w:eastAsia="Calibri" w:hAnsi="Calibri"/>
          <w:b/>
          <w:bCs/>
          <w:color w:val="1F4E79"/>
          <w:sz w:val="32"/>
          <w:szCs w:val="32"/>
        </w:rPr>
        <w:t xml:space="preserve">8. Engagements éthiques</w:t>
      </w:r>
    </w:p>
    <w:p>
      <w:pPr>
        <w:pStyle w:val="ListParagraph"/>
        <w:numPr>
          <w:ilvl w:val="0"/>
          <w:numId w:val="2"/>
        </w:numPr>
        <w:spacing w:after="60" w:line="260"/>
      </w:pPr>
      <w:r>
        <w:rPr>
          <w:rFonts w:ascii="Calibri" w:cs="Calibri" w:eastAsia="Calibri" w:hAnsi="Calibri"/>
          <w:sz w:val="20"/>
          <w:szCs w:val="20"/>
        </w:rPr>
        <w:t xml:space="preserve">Refus de la moralisation infantilisante.</w:t>
      </w:r>
    </w:p>
    <w:p>
      <w:pPr>
        <w:pStyle w:val="ListParagraph"/>
        <w:numPr>
          <w:ilvl w:val="0"/>
          <w:numId w:val="2"/>
        </w:numPr>
        <w:spacing w:after="60" w:line="260"/>
      </w:pPr>
      <w:r>
        <w:rPr>
          <w:rFonts w:ascii="Calibri" w:cs="Calibri" w:eastAsia="Calibri" w:hAnsi="Calibri"/>
          <w:sz w:val="20"/>
          <w:szCs w:val="20"/>
        </w:rPr>
        <w:t xml:space="preserve">Refus du greenwashing pédagogique.</w:t>
      </w:r>
    </w:p>
    <w:p>
      <w:pPr>
        <w:pStyle w:val="ListParagraph"/>
        <w:numPr>
          <w:ilvl w:val="0"/>
          <w:numId w:val="2"/>
        </w:numPr>
        <w:spacing w:after="60" w:line="260"/>
      </w:pPr>
      <w:r>
        <w:rPr>
          <w:rFonts w:ascii="Calibri" w:cs="Calibri" w:eastAsia="Calibri" w:hAnsi="Calibri"/>
          <w:sz w:val="20"/>
          <w:szCs w:val="20"/>
        </w:rPr>
        <w:t xml:space="preserve">Information factuelle et sourcée.</w:t>
      </w:r>
    </w:p>
    <w:p>
      <w:pPr>
        <w:pStyle w:val="ListParagraph"/>
        <w:numPr>
          <w:ilvl w:val="0"/>
          <w:numId w:val="2"/>
        </w:numPr>
        <w:spacing w:after="60" w:line="260"/>
      </w:pPr>
      <w:r>
        <w:rPr>
          <w:rFonts w:ascii="Calibri" w:cs="Calibri" w:eastAsia="Calibri" w:hAnsi="Calibri"/>
          <w:sz w:val="20"/>
          <w:szCs w:val="20"/>
        </w:rPr>
        <w:t xml:space="preserve">Respect de la liberté individuelle.</w:t>
      </w:r>
    </w:p>
    <w:p>
      <w:pPr>
        <w:pStyle w:val="ListParagraph"/>
        <w:numPr>
          <w:ilvl w:val="0"/>
          <w:numId w:val="2"/>
        </w:numPr>
        <w:spacing w:after="60" w:line="260"/>
      </w:pPr>
      <w:r>
        <w:rPr>
          <w:rFonts w:ascii="Calibri" w:cs="Calibri" w:eastAsia="Calibri" w:hAnsi="Calibri"/>
          <w:sz w:val="20"/>
          <w:szCs w:val="20"/>
        </w:rPr>
        <w:t xml:space="preserve">Refus de la conditionnalité (« vous devez »).</w:t>
      </w:r>
    </w:p>
    <w:p>
      <w:pPr>
        <w:pStyle w:val="ListParagraph"/>
        <w:numPr>
          <w:ilvl w:val="0"/>
          <w:numId w:val="2"/>
        </w:numPr>
        <w:spacing w:after="60" w:line="260"/>
      </w:pPr>
      <w:r>
        <w:rPr>
          <w:rFonts w:ascii="Calibri" w:cs="Calibri" w:eastAsia="Calibri" w:hAnsi="Calibri"/>
          <w:sz w:val="20"/>
          <w:szCs w:val="20"/>
        </w:rPr>
        <w:t xml:space="preserve">Education par l'exemple, pas par l'injonction.</w:t>
      </w:r>
    </w:p>
    <w:p>
      <w:pPr>
        <w:pStyle w:val="ListParagraph"/>
        <w:numPr>
          <w:ilvl w:val="0"/>
          <w:numId w:val="2"/>
        </w:numPr>
        <w:spacing w:after="60" w:line="260"/>
      </w:pPr>
      <w:r>
        <w:rPr>
          <w:rFonts w:ascii="Calibri" w:cs="Calibri" w:eastAsia="Calibri" w:hAnsi="Calibri"/>
          <w:sz w:val="20"/>
          <w:szCs w:val="20"/>
        </w:rPr>
        <w:t xml:space="preserve">Refus du « tourisme zoo » et du regard extractif.</w:t>
      </w:r>
    </w:p>
    <w:p>
      <w:pPr>
        <w:spacing w:after="160" w:before="240"/>
      </w:pPr>
      <w:r>
        <w:rPr>
          <w:rFonts w:ascii="Calibri" w:cs="Calibri" w:eastAsia="Calibri" w:hAnsi="Calibri"/>
          <w:b/>
          <w:bCs/>
          <w:color w:val="1F4E79"/>
          <w:sz w:val="32"/>
          <w:szCs w:val="32"/>
        </w:rPr>
        <w:t xml:space="preserve">9. Indicateurs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Indicateur</w:t>
            </w:r>
          </w:p>
        </w:tc>
        <w:tc>
          <w:tcPr>
            <w:tcW w:type="dxa" w:w="234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Cible An 1</w:t>
            </w:r>
          </w:p>
        </w:tc>
        <w:tc>
          <w:tcPr>
            <w:tcW w:type="dxa" w:w="234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Cible An 3</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Voyageurs ayant lu roadbook</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90 %</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95 %</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Voyageurs adoptant éco-gestes (déclaratif)</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60 %</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80 %</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NPS sensibilisation pré-voyage</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+ 70</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+ 80</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Plaintes injonction / culpabilisation</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0</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0</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Articles pédagogiques publiés / an</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10</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30</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Activités engagement local / voyage</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1</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2</w:t>
            </w:r>
          </w:p>
        </w:tc>
      </w:tr>
    </w:tbl>
    <w:p>
      <w:pPr>
        <w:spacing w:after="160"/>
      </w:pPr>
      <w:r>
        <w:t xml:space="preserve"/>
      </w:r>
    </w:p>
    <w:p>
      <w:pPr>
        <w:spacing w:after="100" w:line="280"/>
        <w:jc w:val="both"/>
      </w:pPr>
      <w:r>
        <w:rPr>
          <w:rFonts w:ascii="Calibri" w:cs="Calibri" w:eastAsia="Calibri" w:hAnsi="Calibri"/>
          <w:i/>
          <w:iCs/>
          <w:color w:val="555555"/>
          <w:sz w:val="18"/>
          <w:szCs w:val="18"/>
        </w:rPr>
        <w:t xml:space="preserve">Document de référence — Version 1.0 — 2 mai 2026. Mise à jour annuelle.</w:t>
      </w:r>
    </w:p>
    <w:p>
      <w:pPr>
        <w:spacing w:after="100" w:line="280"/>
        <w:jc w:val="both"/>
      </w:pPr>
      <w:r>
        <w:rPr>
          <w:rFonts w:ascii="Calibri" w:cs="Calibri" w:eastAsia="Calibri" w:hAnsi="Calibri"/>
          <w:i/>
          <w:iCs/>
          <w:color w:val="555555"/>
          <w:sz w:val="18"/>
          <w:szCs w:val="18"/>
        </w:rPr>
        <w:t xml:space="preserve">Cohérence avec : Onboarding voyageur, Manuel voyageur autonome, Glossaire voyage, FAQ voyageurs, Charte engagement carbone, Plan gestion environnementale destinations, Méthodologie de création de voyage, Méthodologie d'animation accompagnateur, Charte commerciale, Charte éditoriale, Charte d'inclusion et diversité, Plan d'animation communauté Famille.</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4"/>
        <w:szCs w:val="14"/>
      </w:rPr>
      <w:t xml:space="preserve">EVENTY LIFE SAS — Plan éducation voyageurs</w:t>
    </w:r>
    <w:r>
      <w:rPr>
        <w:rFonts w:ascii="Calibri" w:cs="Calibri" w:eastAsia="Calibri" w:hAnsi="Calibri"/>
        <w:color w:val="555555"/>
        <w:sz w:val="14"/>
        <w:szCs w:val="14"/>
      </w:rPr>
      <w:t xml:space="preserve">	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Eventy Life — Plan d'éducation et sensibilisation voyageurs</dc:title>
  <dc:creator>David Eventy — Eventy Life SAS</dc:creator>
  <dc:description>Transparence radicale en action — pré, pendant, post-voyage.</dc:description>
  <cp:lastModifiedBy>Un-named</cp:lastModifiedBy>
  <cp:revision>1</cp:revision>
  <dcterms:created xsi:type="dcterms:W3CDTF">2026-05-02T05:37:59.853Z</dcterms:created>
  <dcterms:modified xsi:type="dcterms:W3CDTF">2026-05-02T05:37:59.853Z</dcterms:modified>
</cp:coreProperties>
</file>

<file path=docProps/custom.xml><?xml version="1.0" encoding="utf-8"?>
<Properties xmlns="http://schemas.openxmlformats.org/officeDocument/2006/custom-properties" xmlns:vt="http://schemas.openxmlformats.org/officeDocument/2006/docPropsVTypes"/>
</file>