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PLAN DE PRÉVENTION DU BURNOUT ÉQUIPE EVENTY</w:t>
            </w:r>
          </w:p>
          <w:p>
            <w:pPr>
              <w:spacing w:after="0"/>
              <w:jc w:val="center"/>
            </w:pPr>
            <w:r>
              <w:rPr>
                <w:rFonts w:ascii="Calibri" w:cs="Calibri" w:eastAsia="Calibri" w:hAnsi="Calibri"/>
                <w:i/>
                <w:iCs/>
                <w:color w:val="1F4E79"/>
                <w:sz w:val="18"/>
                <w:szCs w:val="18"/>
              </w:rPr>
              <w:t xml:space="preserve">Santé mentale, charge de travail et soutien des collaborateurs</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plan formalise la stratégie de prévention du burnout chez EVENTY LIFE SAS. Il complète la Charte télétravail (qui couvre le droit à la déconnexion), le Modèle d'entretien annuel (qui couvre l'évaluation bien-être), la Charte des valeurs et code éthique équipe et le Plan de communication interne. Il vise à protéger la santé mentale des collaborateurs Eventy, condition essentielle d'une entreprise qui dure.</w:t>
      </w:r>
    </w:p>
    <w:p>
      <w:pPr>
        <w:spacing w:after="100" w:line="280"/>
        <w:jc w:val="both"/>
      </w:pPr>
      <w:r>
        <w:rPr>
          <w:rFonts w:ascii="Calibri" w:cs="Calibri" w:eastAsia="Calibri" w:hAnsi="Calibri"/>
          <w:i/>
          <w:iCs/>
          <w:color w:val="1A1A1A"/>
          <w:sz w:val="20"/>
          <w:szCs w:val="20"/>
        </w:rPr>
        <w:t xml:space="preserve">Eventy refuse la culture du sur-travail glorifié. Notre approche : prévention active, signaux faibles surveillés, droit absolu à la déconnexion, refus de la culpabilisation des collaborateurs en difficulté. Un collaborateur en burnout est un échec d'organisation, pas un échec individuel. C'est notre responsabilité.</w:t>
      </w:r>
    </w:p>
    <w:p>
      <w:pPr>
        <w:spacing w:after="160" w:before="240"/>
      </w:pPr>
      <w:r>
        <w:rPr>
          <w:rFonts w:ascii="Calibri" w:cs="Calibri" w:eastAsia="Calibri" w:hAnsi="Calibri"/>
          <w:b/>
          <w:bCs/>
          <w:color w:val="1F4E79"/>
          <w:sz w:val="32"/>
          <w:szCs w:val="32"/>
        </w:rPr>
        <w:t xml:space="preserve">1. Cadre</w:t>
      </w:r>
    </w:p>
    <w:p>
      <w:pPr>
        <w:spacing w:after="100" w:before="220"/>
      </w:pPr>
      <w:r>
        <w:rPr>
          <w:rFonts w:ascii="Calibri" w:cs="Calibri" w:eastAsia="Calibri" w:hAnsi="Calibri"/>
          <w:b/>
          <w:bCs/>
          <w:color w:val="E87722"/>
          <w:sz w:val="22"/>
          <w:szCs w:val="22"/>
        </w:rPr>
        <w:t xml:space="preserve">1.1. Cadre légal</w:t>
      </w:r>
    </w:p>
    <w:p>
      <w:pPr>
        <w:pStyle w:val="ListParagraph"/>
        <w:numPr>
          <w:ilvl w:val="0"/>
          <w:numId w:val="2"/>
        </w:numPr>
        <w:spacing w:after="60" w:line="260"/>
      </w:pPr>
      <w:r>
        <w:rPr>
          <w:rFonts w:ascii="Calibri" w:cs="Calibri" w:eastAsia="Calibri" w:hAnsi="Calibri"/>
          <w:sz w:val="20"/>
          <w:szCs w:val="20"/>
        </w:rPr>
        <w:t xml:space="preserve">Code du travail — articles L4121-1 à L4121-5 (obligation de sécurité).</w:t>
      </w:r>
    </w:p>
    <w:p>
      <w:pPr>
        <w:pStyle w:val="ListParagraph"/>
        <w:numPr>
          <w:ilvl w:val="0"/>
          <w:numId w:val="2"/>
        </w:numPr>
        <w:spacing w:after="60" w:line="260"/>
      </w:pPr>
      <w:r>
        <w:rPr>
          <w:rFonts w:ascii="Calibri" w:cs="Calibri" w:eastAsia="Calibri" w:hAnsi="Calibri"/>
          <w:sz w:val="20"/>
          <w:szCs w:val="20"/>
        </w:rPr>
        <w:t xml:space="preserve">Article L1152-1 — protection contre le harcèlement moral.</w:t>
      </w:r>
    </w:p>
    <w:p>
      <w:pPr>
        <w:pStyle w:val="ListParagraph"/>
        <w:numPr>
          <w:ilvl w:val="0"/>
          <w:numId w:val="2"/>
        </w:numPr>
        <w:spacing w:after="60" w:line="260"/>
      </w:pPr>
      <w:r>
        <w:rPr>
          <w:rFonts w:ascii="Calibri" w:cs="Calibri" w:eastAsia="Calibri" w:hAnsi="Calibri"/>
          <w:sz w:val="20"/>
          <w:szCs w:val="20"/>
        </w:rPr>
        <w:t xml:space="preserve">Articles L4624-1 et suivants — services de santé au travail.</w:t>
      </w:r>
    </w:p>
    <w:p>
      <w:pPr>
        <w:pStyle w:val="ListParagraph"/>
        <w:numPr>
          <w:ilvl w:val="0"/>
          <w:numId w:val="2"/>
        </w:numPr>
        <w:spacing w:after="60" w:line="260"/>
      </w:pPr>
      <w:r>
        <w:rPr>
          <w:rFonts w:ascii="Calibri" w:cs="Calibri" w:eastAsia="Calibri" w:hAnsi="Calibri"/>
          <w:sz w:val="20"/>
          <w:szCs w:val="20"/>
        </w:rPr>
        <w:t xml:space="preserve">Recommandations INRS sur les risques psycho-sociaux.</w:t>
      </w:r>
    </w:p>
    <w:p>
      <w:pPr>
        <w:spacing w:after="100" w:before="220"/>
      </w:pPr>
      <w:r>
        <w:rPr>
          <w:rFonts w:ascii="Calibri" w:cs="Calibri" w:eastAsia="Calibri" w:hAnsi="Calibri"/>
          <w:b/>
          <w:bCs/>
          <w:color w:val="E87722"/>
          <w:sz w:val="22"/>
          <w:szCs w:val="22"/>
        </w:rPr>
        <w:t xml:space="preserve">1.2. Définition du burnout</w:t>
      </w:r>
    </w:p>
    <w:p>
      <w:pPr>
        <w:pStyle w:val="ListParagraph"/>
        <w:numPr>
          <w:ilvl w:val="0"/>
          <w:numId w:val="2"/>
        </w:numPr>
        <w:spacing w:after="60" w:line="260"/>
      </w:pPr>
      <w:r>
        <w:rPr>
          <w:rFonts w:ascii="Calibri" w:cs="Calibri" w:eastAsia="Calibri" w:hAnsi="Calibri"/>
          <w:sz w:val="20"/>
          <w:szCs w:val="20"/>
        </w:rPr>
        <w:t xml:space="preserve">Épuisement professionnel caractérisé par : épuisement émotionnel, dépersonnalisation, perte du sens du travail.</w:t>
      </w:r>
    </w:p>
    <w:p>
      <w:pPr>
        <w:pStyle w:val="ListParagraph"/>
        <w:numPr>
          <w:ilvl w:val="0"/>
          <w:numId w:val="2"/>
        </w:numPr>
        <w:spacing w:after="60" w:line="260"/>
      </w:pPr>
      <w:r>
        <w:rPr>
          <w:rFonts w:ascii="Calibri" w:cs="Calibri" w:eastAsia="Calibri" w:hAnsi="Calibri"/>
          <w:sz w:val="20"/>
          <w:szCs w:val="20"/>
        </w:rPr>
        <w:t xml:space="preserve">Syndrome reconnu par l'OMS (CIM-11).</w:t>
      </w:r>
    </w:p>
    <w:p>
      <w:pPr>
        <w:pStyle w:val="ListParagraph"/>
        <w:numPr>
          <w:ilvl w:val="0"/>
          <w:numId w:val="2"/>
        </w:numPr>
        <w:spacing w:after="60" w:line="260"/>
      </w:pPr>
      <w:r>
        <w:rPr>
          <w:rFonts w:ascii="Calibri" w:cs="Calibri" w:eastAsia="Calibri" w:hAnsi="Calibri"/>
          <w:sz w:val="20"/>
          <w:szCs w:val="20"/>
        </w:rPr>
        <w:t xml:space="preserve">Conséquence d'une exposition prolongée à un stress chronique au travail.</w:t>
      </w:r>
    </w:p>
    <w:p>
      <w:pPr>
        <w:pStyle w:val="ListParagraph"/>
        <w:numPr>
          <w:ilvl w:val="0"/>
          <w:numId w:val="2"/>
        </w:numPr>
        <w:spacing w:after="60" w:line="260"/>
      </w:pPr>
      <w:r>
        <w:rPr>
          <w:rFonts w:ascii="Calibri" w:cs="Calibri" w:eastAsia="Calibri" w:hAnsi="Calibri"/>
          <w:sz w:val="20"/>
          <w:szCs w:val="20"/>
        </w:rPr>
        <w:t xml:space="preserve">Réversible mais nécessite intervention rapide.</w:t>
      </w:r>
    </w:p>
    <w:p>
      <w:pPr>
        <w:spacing w:after="160" w:before="240"/>
      </w:pPr>
      <w:r>
        <w:rPr>
          <w:rFonts w:ascii="Calibri" w:cs="Calibri" w:eastAsia="Calibri" w:hAnsi="Calibri"/>
          <w:b/>
          <w:bCs/>
          <w:color w:val="1F4E79"/>
          <w:sz w:val="32"/>
          <w:szCs w:val="32"/>
        </w:rPr>
        <w:t xml:space="preserve">2. Engagements Eventy</w:t>
      </w:r>
    </w:p>
    <w:p>
      <w:pPr>
        <w:spacing w:after="100" w:before="220"/>
      </w:pPr>
      <w:r>
        <w:rPr>
          <w:rFonts w:ascii="Calibri" w:cs="Calibri" w:eastAsia="Calibri" w:hAnsi="Calibri"/>
          <w:b/>
          <w:bCs/>
          <w:color w:val="E87722"/>
          <w:sz w:val="22"/>
          <w:szCs w:val="22"/>
        </w:rPr>
        <w:t xml:space="preserve">2.1. Cinq principes</w:t>
      </w:r>
    </w:p>
    <w:p>
      <w:pPr>
        <w:pStyle w:val="ListParagraph"/>
        <w:numPr>
          <w:ilvl w:val="0"/>
          <w:numId w:val="2"/>
        </w:numPr>
        <w:spacing w:after="60" w:line="260"/>
      </w:pPr>
      <w:r>
        <w:rPr>
          <w:rFonts w:ascii="Calibri" w:cs="Calibri" w:eastAsia="Calibri" w:hAnsi="Calibri"/>
          <w:sz w:val="20"/>
          <w:szCs w:val="20"/>
        </w:rPr>
        <w:t xml:space="preserve">Prévention active — refus du curatif comme stratégie.</w:t>
      </w:r>
    </w:p>
    <w:p>
      <w:pPr>
        <w:pStyle w:val="ListParagraph"/>
        <w:numPr>
          <w:ilvl w:val="0"/>
          <w:numId w:val="2"/>
        </w:numPr>
        <w:spacing w:after="60" w:line="260"/>
      </w:pPr>
      <w:r>
        <w:rPr>
          <w:rFonts w:ascii="Calibri" w:cs="Calibri" w:eastAsia="Calibri" w:hAnsi="Calibri"/>
          <w:sz w:val="20"/>
          <w:szCs w:val="20"/>
        </w:rPr>
        <w:t xml:space="preserve">Anticipation — surveiller les signaux faibles.</w:t>
      </w:r>
    </w:p>
    <w:p>
      <w:pPr>
        <w:pStyle w:val="ListParagraph"/>
        <w:numPr>
          <w:ilvl w:val="0"/>
          <w:numId w:val="2"/>
        </w:numPr>
        <w:spacing w:after="60" w:line="260"/>
      </w:pPr>
      <w:r>
        <w:rPr>
          <w:rFonts w:ascii="Calibri" w:cs="Calibri" w:eastAsia="Calibri" w:hAnsi="Calibri"/>
          <w:sz w:val="20"/>
          <w:szCs w:val="20"/>
        </w:rPr>
        <w:t xml:space="preserve">Bienveillance — refus de la culpabilisation.</w:t>
      </w:r>
    </w:p>
    <w:p>
      <w:pPr>
        <w:pStyle w:val="ListParagraph"/>
        <w:numPr>
          <w:ilvl w:val="0"/>
          <w:numId w:val="2"/>
        </w:numPr>
        <w:spacing w:after="60" w:line="260"/>
      </w:pPr>
      <w:r>
        <w:rPr>
          <w:rFonts w:ascii="Calibri" w:cs="Calibri" w:eastAsia="Calibri" w:hAnsi="Calibri"/>
          <w:sz w:val="20"/>
          <w:szCs w:val="20"/>
        </w:rPr>
        <w:t xml:space="preserve">Confidentialité — protection absolue des collaborateurs en difficulté.</w:t>
      </w:r>
    </w:p>
    <w:p>
      <w:pPr>
        <w:pStyle w:val="ListParagraph"/>
        <w:numPr>
          <w:ilvl w:val="0"/>
          <w:numId w:val="2"/>
        </w:numPr>
        <w:spacing w:after="60" w:line="260"/>
      </w:pPr>
      <w:r>
        <w:rPr>
          <w:rFonts w:ascii="Calibri" w:cs="Calibri" w:eastAsia="Calibri" w:hAnsi="Calibri"/>
          <w:sz w:val="20"/>
          <w:szCs w:val="20"/>
        </w:rPr>
        <w:t xml:space="preserve">Action concrète — au-delà des mots, des mesures.</w:t>
      </w:r>
    </w:p>
    <w:p>
      <w:pPr>
        <w:spacing w:after="100" w:before="220"/>
      </w:pPr>
      <w:r>
        <w:rPr>
          <w:rFonts w:ascii="Calibri" w:cs="Calibri" w:eastAsia="Calibri" w:hAnsi="Calibri"/>
          <w:b/>
          <w:bCs/>
          <w:color w:val="E87722"/>
          <w:sz w:val="22"/>
          <w:szCs w:val="22"/>
        </w:rPr>
        <w:t xml:space="preserve">2.2. Refus structurés</w:t>
      </w:r>
    </w:p>
    <w:p>
      <w:pPr>
        <w:pStyle w:val="ListParagraph"/>
        <w:numPr>
          <w:ilvl w:val="0"/>
          <w:numId w:val="2"/>
        </w:numPr>
        <w:spacing w:after="60" w:line="260"/>
      </w:pPr>
      <w:r>
        <w:rPr>
          <w:rFonts w:ascii="Calibri" w:cs="Calibri" w:eastAsia="Calibri" w:hAnsi="Calibri"/>
          <w:sz w:val="20"/>
          <w:szCs w:val="20"/>
        </w:rPr>
        <w:t xml:space="preserve">Refus de la culture du sur-travail glorifié (« il bosse jusqu'à 22h »).</w:t>
      </w:r>
    </w:p>
    <w:p>
      <w:pPr>
        <w:pStyle w:val="ListParagraph"/>
        <w:numPr>
          <w:ilvl w:val="0"/>
          <w:numId w:val="2"/>
        </w:numPr>
        <w:spacing w:after="60" w:line="260"/>
      </w:pPr>
      <w:r>
        <w:rPr>
          <w:rFonts w:ascii="Calibri" w:cs="Calibri" w:eastAsia="Calibri" w:hAnsi="Calibri"/>
          <w:sz w:val="20"/>
          <w:szCs w:val="20"/>
        </w:rPr>
        <w:t xml:space="preserve">Refus du présentéisme.</w:t>
      </w:r>
    </w:p>
    <w:p>
      <w:pPr>
        <w:pStyle w:val="ListParagraph"/>
        <w:numPr>
          <w:ilvl w:val="0"/>
          <w:numId w:val="2"/>
        </w:numPr>
        <w:spacing w:after="60" w:line="260"/>
      </w:pPr>
      <w:r>
        <w:rPr>
          <w:rFonts w:ascii="Calibri" w:cs="Calibri" w:eastAsia="Calibri" w:hAnsi="Calibri"/>
          <w:sz w:val="20"/>
          <w:szCs w:val="20"/>
        </w:rPr>
        <w:t xml:space="preserve">Refus de la pression à répondre aux emails hors heures.</w:t>
      </w:r>
    </w:p>
    <w:p>
      <w:pPr>
        <w:pStyle w:val="ListParagraph"/>
        <w:numPr>
          <w:ilvl w:val="0"/>
          <w:numId w:val="2"/>
        </w:numPr>
        <w:spacing w:after="60" w:line="260"/>
      </w:pPr>
      <w:r>
        <w:rPr>
          <w:rFonts w:ascii="Calibri" w:cs="Calibri" w:eastAsia="Calibri" w:hAnsi="Calibri"/>
          <w:sz w:val="20"/>
          <w:szCs w:val="20"/>
        </w:rPr>
        <w:t xml:space="preserve">Refus du non-prise des congés.</w:t>
      </w:r>
    </w:p>
    <w:p>
      <w:pPr>
        <w:pStyle w:val="ListParagraph"/>
        <w:numPr>
          <w:ilvl w:val="0"/>
          <w:numId w:val="2"/>
        </w:numPr>
        <w:spacing w:after="60" w:line="260"/>
      </w:pPr>
      <w:r>
        <w:rPr>
          <w:rFonts w:ascii="Calibri" w:cs="Calibri" w:eastAsia="Calibri" w:hAnsi="Calibri"/>
          <w:sz w:val="20"/>
          <w:szCs w:val="20"/>
        </w:rPr>
        <w:t xml:space="preserve">Refus du « bon travailleur = épuisé ».</w:t>
      </w:r>
    </w:p>
    <w:p>
      <w:pPr>
        <w:pStyle w:val="ListParagraph"/>
        <w:numPr>
          <w:ilvl w:val="0"/>
          <w:numId w:val="2"/>
        </w:numPr>
        <w:spacing w:after="60" w:line="260"/>
      </w:pPr>
      <w:r>
        <w:rPr>
          <w:rFonts w:ascii="Calibri" w:cs="Calibri" w:eastAsia="Calibri" w:hAnsi="Calibri"/>
          <w:sz w:val="20"/>
          <w:szCs w:val="20"/>
        </w:rPr>
        <w:t xml:space="preserve">Refus de la culpabilisation des arrêts maladie.</w:t>
      </w:r>
    </w:p>
    <w:p>
      <w:pPr>
        <w:spacing w:after="160" w:before="240"/>
      </w:pPr>
      <w:r>
        <w:rPr>
          <w:rFonts w:ascii="Calibri" w:cs="Calibri" w:eastAsia="Calibri" w:hAnsi="Calibri"/>
          <w:b/>
          <w:bCs/>
          <w:color w:val="1F4E79"/>
          <w:sz w:val="32"/>
          <w:szCs w:val="32"/>
        </w:rPr>
        <w:t xml:space="preserve">3. Facteurs de risque identifiés</w:t>
      </w:r>
    </w:p>
    <w:p>
      <w:pPr>
        <w:spacing w:after="100" w:before="220"/>
      </w:pPr>
      <w:r>
        <w:rPr>
          <w:rFonts w:ascii="Calibri" w:cs="Calibri" w:eastAsia="Calibri" w:hAnsi="Calibri"/>
          <w:b/>
          <w:bCs/>
          <w:color w:val="E87722"/>
          <w:sz w:val="22"/>
          <w:szCs w:val="22"/>
        </w:rPr>
        <w:t xml:space="preserve">3.1. Charge de travail excessive</w:t>
      </w:r>
    </w:p>
    <w:p>
      <w:pPr>
        <w:pStyle w:val="ListParagraph"/>
        <w:numPr>
          <w:ilvl w:val="0"/>
          <w:numId w:val="2"/>
        </w:numPr>
        <w:spacing w:after="60" w:line="260"/>
      </w:pPr>
      <w:r>
        <w:rPr>
          <w:rFonts w:ascii="Calibri" w:cs="Calibri" w:eastAsia="Calibri" w:hAnsi="Calibri"/>
          <w:sz w:val="20"/>
          <w:szCs w:val="20"/>
        </w:rPr>
        <w:t xml:space="preserve">Heures supplémentaires régulières.</w:t>
      </w:r>
    </w:p>
    <w:p>
      <w:pPr>
        <w:pStyle w:val="ListParagraph"/>
        <w:numPr>
          <w:ilvl w:val="0"/>
          <w:numId w:val="2"/>
        </w:numPr>
        <w:spacing w:after="60" w:line="260"/>
      </w:pPr>
      <w:r>
        <w:rPr>
          <w:rFonts w:ascii="Calibri" w:cs="Calibri" w:eastAsia="Calibri" w:hAnsi="Calibri"/>
          <w:sz w:val="20"/>
          <w:szCs w:val="20"/>
        </w:rPr>
        <w:t xml:space="preserve">Volume de tâches dépassant les capacités.</w:t>
      </w:r>
    </w:p>
    <w:p>
      <w:pPr>
        <w:pStyle w:val="ListParagraph"/>
        <w:numPr>
          <w:ilvl w:val="0"/>
          <w:numId w:val="2"/>
        </w:numPr>
        <w:spacing w:after="60" w:line="260"/>
      </w:pPr>
      <w:r>
        <w:rPr>
          <w:rFonts w:ascii="Calibri" w:cs="Calibri" w:eastAsia="Calibri" w:hAnsi="Calibri"/>
          <w:sz w:val="20"/>
          <w:szCs w:val="20"/>
        </w:rPr>
        <w:t xml:space="preserve">Suivi par manager direct lors de l'entretien hebdomadaire.</w:t>
      </w:r>
    </w:p>
    <w:p>
      <w:pPr>
        <w:spacing w:after="100" w:before="220"/>
      </w:pPr>
      <w:r>
        <w:rPr>
          <w:rFonts w:ascii="Calibri" w:cs="Calibri" w:eastAsia="Calibri" w:hAnsi="Calibri"/>
          <w:b/>
          <w:bCs/>
          <w:color w:val="E87722"/>
          <w:sz w:val="22"/>
          <w:szCs w:val="22"/>
        </w:rPr>
        <w:t xml:space="preserve">3.2. Manque d'autonomie</w:t>
      </w:r>
    </w:p>
    <w:p>
      <w:pPr>
        <w:pStyle w:val="ListParagraph"/>
        <w:numPr>
          <w:ilvl w:val="0"/>
          <w:numId w:val="2"/>
        </w:numPr>
        <w:spacing w:after="60" w:line="260"/>
      </w:pPr>
      <w:r>
        <w:rPr>
          <w:rFonts w:ascii="Calibri" w:cs="Calibri" w:eastAsia="Calibri" w:hAnsi="Calibri"/>
          <w:sz w:val="20"/>
          <w:szCs w:val="20"/>
        </w:rPr>
        <w:t xml:space="preserve">Sentiment de ne pas maîtriser son travail.</w:t>
      </w:r>
    </w:p>
    <w:p>
      <w:pPr>
        <w:pStyle w:val="ListParagraph"/>
        <w:numPr>
          <w:ilvl w:val="0"/>
          <w:numId w:val="2"/>
        </w:numPr>
        <w:spacing w:after="60" w:line="260"/>
      </w:pPr>
      <w:r>
        <w:rPr>
          <w:rFonts w:ascii="Calibri" w:cs="Calibri" w:eastAsia="Calibri" w:hAnsi="Calibri"/>
          <w:sz w:val="20"/>
          <w:szCs w:val="20"/>
        </w:rPr>
        <w:t xml:space="preserve">Décisions imposées sans concertation.</w:t>
      </w:r>
    </w:p>
    <w:p>
      <w:pPr>
        <w:pStyle w:val="ListParagraph"/>
        <w:numPr>
          <w:ilvl w:val="0"/>
          <w:numId w:val="2"/>
        </w:numPr>
        <w:spacing w:after="60" w:line="260"/>
      </w:pPr>
      <w:r>
        <w:rPr>
          <w:rFonts w:ascii="Calibri" w:cs="Calibri" w:eastAsia="Calibri" w:hAnsi="Calibri"/>
          <w:sz w:val="20"/>
          <w:szCs w:val="20"/>
        </w:rPr>
        <w:t xml:space="preserve">Cohérence avec Charte des valeurs (humilité, refus du dirigisme).</w:t>
      </w:r>
    </w:p>
    <w:p>
      <w:pPr>
        <w:spacing w:after="100" w:before="220"/>
      </w:pPr>
      <w:r>
        <w:rPr>
          <w:rFonts w:ascii="Calibri" w:cs="Calibri" w:eastAsia="Calibri" w:hAnsi="Calibri"/>
          <w:b/>
          <w:bCs/>
          <w:color w:val="E87722"/>
          <w:sz w:val="22"/>
          <w:szCs w:val="22"/>
        </w:rPr>
        <w:t xml:space="preserve">3.3. Conflits relationnels</w:t>
      </w:r>
    </w:p>
    <w:p>
      <w:pPr>
        <w:pStyle w:val="ListParagraph"/>
        <w:numPr>
          <w:ilvl w:val="0"/>
          <w:numId w:val="2"/>
        </w:numPr>
        <w:spacing w:after="60" w:line="260"/>
      </w:pPr>
      <w:r>
        <w:rPr>
          <w:rFonts w:ascii="Calibri" w:cs="Calibri" w:eastAsia="Calibri" w:hAnsi="Calibri"/>
          <w:sz w:val="20"/>
          <w:szCs w:val="20"/>
        </w:rPr>
        <w:t xml:space="preserve">Tensions équipe non résolues.</w:t>
      </w:r>
    </w:p>
    <w:p>
      <w:pPr>
        <w:pStyle w:val="ListParagraph"/>
        <w:numPr>
          <w:ilvl w:val="0"/>
          <w:numId w:val="2"/>
        </w:numPr>
        <w:spacing w:after="60" w:line="260"/>
      </w:pPr>
      <w:r>
        <w:rPr>
          <w:rFonts w:ascii="Calibri" w:cs="Calibri" w:eastAsia="Calibri" w:hAnsi="Calibri"/>
          <w:sz w:val="20"/>
          <w:szCs w:val="20"/>
        </w:rPr>
        <w:t xml:space="preserve">Comportements toxiques (cohérence Charte des valeurs).</w:t>
      </w:r>
    </w:p>
    <w:p>
      <w:pPr>
        <w:pStyle w:val="ListParagraph"/>
        <w:numPr>
          <w:ilvl w:val="0"/>
          <w:numId w:val="2"/>
        </w:numPr>
        <w:spacing w:after="60" w:line="260"/>
      </w:pPr>
      <w:r>
        <w:rPr>
          <w:rFonts w:ascii="Calibri" w:cs="Calibri" w:eastAsia="Calibri" w:hAnsi="Calibri"/>
          <w:sz w:val="20"/>
          <w:szCs w:val="20"/>
        </w:rPr>
        <w:t xml:space="preserve">Cohérence avec Procédure de signalement.</w:t>
      </w:r>
    </w:p>
    <w:p>
      <w:pPr>
        <w:spacing w:after="100" w:before="220"/>
      </w:pPr>
      <w:r>
        <w:rPr>
          <w:rFonts w:ascii="Calibri" w:cs="Calibri" w:eastAsia="Calibri" w:hAnsi="Calibri"/>
          <w:b/>
          <w:bCs/>
          <w:color w:val="E87722"/>
          <w:sz w:val="22"/>
          <w:szCs w:val="22"/>
        </w:rPr>
        <w:t xml:space="preserve">3.4. Manque de reconnaissance</w:t>
      </w:r>
    </w:p>
    <w:p>
      <w:pPr>
        <w:pStyle w:val="ListParagraph"/>
        <w:numPr>
          <w:ilvl w:val="0"/>
          <w:numId w:val="2"/>
        </w:numPr>
        <w:spacing w:after="60" w:line="260"/>
      </w:pPr>
      <w:r>
        <w:rPr>
          <w:rFonts w:ascii="Calibri" w:cs="Calibri" w:eastAsia="Calibri" w:hAnsi="Calibri"/>
          <w:sz w:val="20"/>
          <w:szCs w:val="20"/>
        </w:rPr>
        <w:t xml:space="preserve">Travail invisible ou peu valorisé.</w:t>
      </w:r>
    </w:p>
    <w:p>
      <w:pPr>
        <w:pStyle w:val="ListParagraph"/>
        <w:numPr>
          <w:ilvl w:val="0"/>
          <w:numId w:val="2"/>
        </w:numPr>
        <w:spacing w:after="60" w:line="260"/>
      </w:pPr>
      <w:r>
        <w:rPr>
          <w:rFonts w:ascii="Calibri" w:cs="Calibri" w:eastAsia="Calibri" w:hAnsi="Calibri"/>
          <w:sz w:val="20"/>
          <w:szCs w:val="20"/>
        </w:rPr>
        <w:t xml:space="preserve">Compensation financière inadaptée.</w:t>
      </w:r>
    </w:p>
    <w:p>
      <w:pPr>
        <w:pStyle w:val="ListParagraph"/>
        <w:numPr>
          <w:ilvl w:val="0"/>
          <w:numId w:val="2"/>
        </w:numPr>
        <w:spacing w:after="60" w:line="260"/>
      </w:pPr>
      <w:r>
        <w:rPr>
          <w:rFonts w:ascii="Calibri" w:cs="Calibri" w:eastAsia="Calibri" w:hAnsi="Calibri"/>
          <w:sz w:val="20"/>
          <w:szCs w:val="20"/>
        </w:rPr>
        <w:t xml:space="preserve">Cohérence avec Modèle d'entretien annuel.</w:t>
      </w:r>
    </w:p>
    <w:p>
      <w:pPr>
        <w:spacing w:after="100" w:before="220"/>
      </w:pPr>
      <w:r>
        <w:rPr>
          <w:rFonts w:ascii="Calibri" w:cs="Calibri" w:eastAsia="Calibri" w:hAnsi="Calibri"/>
          <w:b/>
          <w:bCs/>
          <w:color w:val="E87722"/>
          <w:sz w:val="22"/>
          <w:szCs w:val="22"/>
        </w:rPr>
        <w:t xml:space="preserve">3.5. Perte de sens</w:t>
      </w:r>
    </w:p>
    <w:p>
      <w:pPr>
        <w:pStyle w:val="ListParagraph"/>
        <w:numPr>
          <w:ilvl w:val="0"/>
          <w:numId w:val="2"/>
        </w:numPr>
        <w:spacing w:after="60" w:line="260"/>
      </w:pPr>
      <w:r>
        <w:rPr>
          <w:rFonts w:ascii="Calibri" w:cs="Calibri" w:eastAsia="Calibri" w:hAnsi="Calibri"/>
          <w:sz w:val="20"/>
          <w:szCs w:val="20"/>
        </w:rPr>
        <w:t xml:space="preserve">Désaccord avec les orientations Eventy.</w:t>
      </w:r>
    </w:p>
    <w:p>
      <w:pPr>
        <w:pStyle w:val="ListParagraph"/>
        <w:numPr>
          <w:ilvl w:val="0"/>
          <w:numId w:val="2"/>
        </w:numPr>
        <w:spacing w:after="60" w:line="260"/>
      </w:pPr>
      <w:r>
        <w:rPr>
          <w:rFonts w:ascii="Calibri" w:cs="Calibri" w:eastAsia="Calibri" w:hAnsi="Calibri"/>
          <w:sz w:val="20"/>
          <w:szCs w:val="20"/>
        </w:rPr>
        <w:t xml:space="preserve">Sentiment d'inutilité du travail.</w:t>
      </w:r>
    </w:p>
    <w:p>
      <w:pPr>
        <w:pStyle w:val="ListParagraph"/>
        <w:numPr>
          <w:ilvl w:val="0"/>
          <w:numId w:val="2"/>
        </w:numPr>
        <w:spacing w:after="60" w:line="260"/>
      </w:pPr>
      <w:r>
        <w:rPr>
          <w:rFonts w:ascii="Calibri" w:cs="Calibri" w:eastAsia="Calibri" w:hAnsi="Calibri"/>
          <w:sz w:val="20"/>
          <w:szCs w:val="20"/>
        </w:rPr>
        <w:t xml:space="preserve">Cohérence avec AME-EVENTY.md (manifeste fondateur).</w:t>
      </w:r>
    </w:p>
    <w:p>
      <w:pPr>
        <w:spacing w:after="160" w:before="240"/>
      </w:pPr>
      <w:r>
        <w:rPr>
          <w:rFonts w:ascii="Calibri" w:cs="Calibri" w:eastAsia="Calibri" w:hAnsi="Calibri"/>
          <w:b/>
          <w:bCs/>
          <w:color w:val="1F4E79"/>
          <w:sz w:val="32"/>
          <w:szCs w:val="32"/>
        </w:rPr>
        <w:t xml:space="preserve">4. Mesures préventives</w:t>
      </w:r>
    </w:p>
    <w:p>
      <w:pPr>
        <w:spacing w:after="100" w:before="220"/>
      </w:pPr>
      <w:r>
        <w:rPr>
          <w:rFonts w:ascii="Calibri" w:cs="Calibri" w:eastAsia="Calibri" w:hAnsi="Calibri"/>
          <w:b/>
          <w:bCs/>
          <w:color w:val="E87722"/>
          <w:sz w:val="22"/>
          <w:szCs w:val="22"/>
        </w:rPr>
        <w:t xml:space="preserve">4.1. Organisation du travail</w:t>
      </w:r>
    </w:p>
    <w:p>
      <w:pPr>
        <w:pStyle w:val="ListParagraph"/>
        <w:numPr>
          <w:ilvl w:val="0"/>
          <w:numId w:val="2"/>
        </w:numPr>
        <w:spacing w:after="60" w:line="260"/>
      </w:pPr>
      <w:r>
        <w:rPr>
          <w:rFonts w:ascii="Calibri" w:cs="Calibri" w:eastAsia="Calibri" w:hAnsi="Calibri"/>
          <w:sz w:val="20"/>
          <w:szCs w:val="20"/>
        </w:rPr>
        <w:t xml:space="preserve">Charte télétravail (hybride flexible — cohérence document dédié).</w:t>
      </w:r>
    </w:p>
    <w:p>
      <w:pPr>
        <w:pStyle w:val="ListParagraph"/>
        <w:numPr>
          <w:ilvl w:val="0"/>
          <w:numId w:val="2"/>
        </w:numPr>
        <w:spacing w:after="60" w:line="260"/>
      </w:pPr>
      <w:r>
        <w:rPr>
          <w:rFonts w:ascii="Calibri" w:cs="Calibri" w:eastAsia="Calibri" w:hAnsi="Calibri"/>
          <w:sz w:val="20"/>
          <w:szCs w:val="20"/>
        </w:rPr>
        <w:t xml:space="preserve">Plages communes 10h-12h30 / 14h-17h (refus du « toujours dispo »).</w:t>
      </w:r>
    </w:p>
    <w:p>
      <w:pPr>
        <w:pStyle w:val="ListParagraph"/>
        <w:numPr>
          <w:ilvl w:val="0"/>
          <w:numId w:val="2"/>
        </w:numPr>
        <w:spacing w:after="60" w:line="260"/>
      </w:pPr>
      <w:r>
        <w:rPr>
          <w:rFonts w:ascii="Calibri" w:cs="Calibri" w:eastAsia="Calibri" w:hAnsi="Calibri"/>
          <w:sz w:val="20"/>
          <w:szCs w:val="20"/>
        </w:rPr>
        <w:t xml:space="preserve">Droit à la déconnexion absolu (cohérence Charte télétravail).</w:t>
      </w:r>
    </w:p>
    <w:p>
      <w:pPr>
        <w:pStyle w:val="ListParagraph"/>
        <w:numPr>
          <w:ilvl w:val="0"/>
          <w:numId w:val="2"/>
        </w:numPr>
        <w:spacing w:after="60" w:line="260"/>
      </w:pPr>
      <w:r>
        <w:rPr>
          <w:rFonts w:ascii="Calibri" w:cs="Calibri" w:eastAsia="Calibri" w:hAnsi="Calibri"/>
          <w:sz w:val="20"/>
          <w:szCs w:val="20"/>
        </w:rPr>
        <w:t xml:space="preserve">Pas de communication tardive (avant 8h, après 21h sauf urgence voyage).</w:t>
      </w:r>
    </w:p>
    <w:p>
      <w:pPr>
        <w:pStyle w:val="ListParagraph"/>
        <w:numPr>
          <w:ilvl w:val="0"/>
          <w:numId w:val="2"/>
        </w:numPr>
        <w:spacing w:after="60" w:line="260"/>
      </w:pPr>
      <w:r>
        <w:rPr>
          <w:rFonts w:ascii="Calibri" w:cs="Calibri" w:eastAsia="Calibri" w:hAnsi="Calibri"/>
          <w:sz w:val="20"/>
          <w:szCs w:val="20"/>
        </w:rPr>
        <w:t xml:space="preserve">Refus du travail nocturne ou weekend (sauf astreinte).</w:t>
      </w:r>
    </w:p>
    <w:p>
      <w:pPr>
        <w:spacing w:after="100" w:before="220"/>
      </w:pPr>
      <w:r>
        <w:rPr>
          <w:rFonts w:ascii="Calibri" w:cs="Calibri" w:eastAsia="Calibri" w:hAnsi="Calibri"/>
          <w:b/>
          <w:bCs/>
          <w:color w:val="E87722"/>
          <w:sz w:val="22"/>
          <w:szCs w:val="22"/>
        </w:rPr>
        <w:t xml:space="preserve">4.2. Charge de travail</w:t>
      </w:r>
    </w:p>
    <w:p>
      <w:pPr>
        <w:pStyle w:val="ListParagraph"/>
        <w:numPr>
          <w:ilvl w:val="0"/>
          <w:numId w:val="2"/>
        </w:numPr>
        <w:spacing w:after="60" w:line="260"/>
      </w:pPr>
      <w:r>
        <w:rPr>
          <w:rFonts w:ascii="Calibri" w:cs="Calibri" w:eastAsia="Calibri" w:hAnsi="Calibri"/>
          <w:sz w:val="20"/>
          <w:szCs w:val="20"/>
        </w:rPr>
        <w:t xml:space="preserve">Suivi de la charge en réunion hebdomadaire avec manager.</w:t>
      </w:r>
    </w:p>
    <w:p>
      <w:pPr>
        <w:pStyle w:val="ListParagraph"/>
        <w:numPr>
          <w:ilvl w:val="0"/>
          <w:numId w:val="2"/>
        </w:numPr>
        <w:spacing w:after="60" w:line="260"/>
      </w:pPr>
      <w:r>
        <w:rPr>
          <w:rFonts w:ascii="Calibri" w:cs="Calibri" w:eastAsia="Calibri" w:hAnsi="Calibri"/>
          <w:sz w:val="20"/>
          <w:szCs w:val="20"/>
        </w:rPr>
        <w:t xml:space="preserve">Possibilité de signaler une surcharge sans jugement.</w:t>
      </w:r>
    </w:p>
    <w:p>
      <w:pPr>
        <w:pStyle w:val="ListParagraph"/>
        <w:numPr>
          <w:ilvl w:val="0"/>
          <w:numId w:val="2"/>
        </w:numPr>
        <w:spacing w:after="60" w:line="260"/>
      </w:pPr>
      <w:r>
        <w:rPr>
          <w:rFonts w:ascii="Calibri" w:cs="Calibri" w:eastAsia="Calibri" w:hAnsi="Calibri"/>
          <w:sz w:val="20"/>
          <w:szCs w:val="20"/>
        </w:rPr>
        <w:t xml:space="preserve">Réajustement des priorités si nécessaire.</w:t>
      </w:r>
    </w:p>
    <w:p>
      <w:pPr>
        <w:pStyle w:val="ListParagraph"/>
        <w:numPr>
          <w:ilvl w:val="0"/>
          <w:numId w:val="2"/>
        </w:numPr>
        <w:spacing w:after="60" w:line="260"/>
      </w:pPr>
      <w:r>
        <w:rPr>
          <w:rFonts w:ascii="Calibri" w:cs="Calibri" w:eastAsia="Calibri" w:hAnsi="Calibri"/>
          <w:sz w:val="20"/>
          <w:szCs w:val="20"/>
        </w:rPr>
        <w:t xml:space="preserve">Refus de la sur-promesse aux voyageurs au détriment des équipes.</w:t>
      </w:r>
    </w:p>
    <w:p>
      <w:pPr>
        <w:spacing w:after="100" w:before="220"/>
      </w:pPr>
      <w:r>
        <w:rPr>
          <w:rFonts w:ascii="Calibri" w:cs="Calibri" w:eastAsia="Calibri" w:hAnsi="Calibri"/>
          <w:b/>
          <w:bCs/>
          <w:color w:val="E87722"/>
          <w:sz w:val="22"/>
          <w:szCs w:val="22"/>
        </w:rPr>
        <w:t xml:space="preserve">4.3. Reconnaissance</w:t>
      </w:r>
    </w:p>
    <w:p>
      <w:pPr>
        <w:pStyle w:val="ListParagraph"/>
        <w:numPr>
          <w:ilvl w:val="0"/>
          <w:numId w:val="2"/>
        </w:numPr>
        <w:spacing w:after="60" w:line="260"/>
      </w:pPr>
      <w:r>
        <w:rPr>
          <w:rFonts w:ascii="Calibri" w:cs="Calibri" w:eastAsia="Calibri" w:hAnsi="Calibri"/>
          <w:sz w:val="20"/>
          <w:szCs w:val="20"/>
        </w:rPr>
        <w:t xml:space="preserve">Mention dans la newsletter interne mensuelle.</w:t>
      </w:r>
    </w:p>
    <w:p>
      <w:pPr>
        <w:pStyle w:val="ListParagraph"/>
        <w:numPr>
          <w:ilvl w:val="0"/>
          <w:numId w:val="2"/>
        </w:numPr>
        <w:spacing w:after="60" w:line="260"/>
      </w:pPr>
      <w:r>
        <w:rPr>
          <w:rFonts w:ascii="Calibri" w:cs="Calibri" w:eastAsia="Calibri" w:hAnsi="Calibri"/>
          <w:sz w:val="20"/>
          <w:szCs w:val="20"/>
        </w:rPr>
        <w:t xml:space="preserve">Reconnaissance lors des all-hands.</w:t>
      </w:r>
    </w:p>
    <w:p>
      <w:pPr>
        <w:pStyle w:val="ListParagraph"/>
        <w:numPr>
          <w:ilvl w:val="0"/>
          <w:numId w:val="2"/>
        </w:numPr>
        <w:spacing w:after="60" w:line="260"/>
      </w:pPr>
      <w:r>
        <w:rPr>
          <w:rFonts w:ascii="Calibri" w:cs="Calibri" w:eastAsia="Calibri" w:hAnsi="Calibri"/>
          <w:sz w:val="20"/>
          <w:szCs w:val="20"/>
        </w:rPr>
        <w:t xml:space="preserve">Cohérence avec Modèle d'entretien annuel (révisions salariales annuelles).</w:t>
      </w:r>
    </w:p>
    <w:p>
      <w:pPr>
        <w:spacing w:after="100" w:before="220"/>
      </w:pPr>
      <w:r>
        <w:rPr>
          <w:rFonts w:ascii="Calibri" w:cs="Calibri" w:eastAsia="Calibri" w:hAnsi="Calibri"/>
          <w:b/>
          <w:bCs/>
          <w:color w:val="E87722"/>
          <w:sz w:val="22"/>
          <w:szCs w:val="22"/>
        </w:rPr>
        <w:t xml:space="preserve">4.4. Sens et autonomie</w:t>
      </w:r>
    </w:p>
    <w:p>
      <w:pPr>
        <w:pStyle w:val="ListParagraph"/>
        <w:numPr>
          <w:ilvl w:val="0"/>
          <w:numId w:val="2"/>
        </w:numPr>
        <w:spacing w:after="60" w:line="260"/>
      </w:pPr>
      <w:r>
        <w:rPr>
          <w:rFonts w:ascii="Calibri" w:cs="Calibri" w:eastAsia="Calibri" w:hAnsi="Calibri"/>
          <w:sz w:val="20"/>
          <w:szCs w:val="20"/>
        </w:rPr>
        <w:t xml:space="preserve">Cohérence avec AME-EVENTY.md (mission claire).</w:t>
      </w:r>
    </w:p>
    <w:p>
      <w:pPr>
        <w:pStyle w:val="ListParagraph"/>
        <w:numPr>
          <w:ilvl w:val="0"/>
          <w:numId w:val="2"/>
        </w:numPr>
        <w:spacing w:after="60" w:line="260"/>
      </w:pPr>
      <w:r>
        <w:rPr>
          <w:rFonts w:ascii="Calibri" w:cs="Calibri" w:eastAsia="Calibri" w:hAnsi="Calibri"/>
          <w:sz w:val="20"/>
          <w:szCs w:val="20"/>
        </w:rPr>
        <w:t xml:space="preserve">Implication dans les décisions structurantes.</w:t>
      </w:r>
    </w:p>
    <w:p>
      <w:pPr>
        <w:pStyle w:val="ListParagraph"/>
        <w:numPr>
          <w:ilvl w:val="0"/>
          <w:numId w:val="2"/>
        </w:numPr>
        <w:spacing w:after="60" w:line="260"/>
      </w:pPr>
      <w:r>
        <w:rPr>
          <w:rFonts w:ascii="Calibri" w:cs="Calibri" w:eastAsia="Calibri" w:hAnsi="Calibri"/>
          <w:sz w:val="20"/>
          <w:szCs w:val="20"/>
        </w:rPr>
        <w:t xml:space="preserve">Possibilité de proposer des idées (cohérence Procédure d'amélioration continue).</w:t>
      </w:r>
    </w:p>
    <w:p>
      <w:pPr>
        <w:spacing w:after="160" w:before="240"/>
      </w:pPr>
      <w:r>
        <w:rPr>
          <w:rFonts w:ascii="Calibri" w:cs="Calibri" w:eastAsia="Calibri" w:hAnsi="Calibri"/>
          <w:b/>
          <w:bCs/>
          <w:color w:val="1F4E79"/>
          <w:sz w:val="32"/>
          <w:szCs w:val="32"/>
        </w:rPr>
        <w:t xml:space="preserve">5. Détection et signaux faibles</w:t>
      </w:r>
    </w:p>
    <w:p>
      <w:pPr>
        <w:spacing w:after="100" w:before="220"/>
      </w:pPr>
      <w:r>
        <w:rPr>
          <w:rFonts w:ascii="Calibri" w:cs="Calibri" w:eastAsia="Calibri" w:hAnsi="Calibri"/>
          <w:b/>
          <w:bCs/>
          <w:color w:val="E87722"/>
          <w:sz w:val="22"/>
          <w:szCs w:val="22"/>
        </w:rPr>
        <w:t xml:space="preserve">5.1. Sondages internes</w:t>
      </w:r>
    </w:p>
    <w:p>
      <w:pPr>
        <w:pStyle w:val="ListParagraph"/>
        <w:numPr>
          <w:ilvl w:val="0"/>
          <w:numId w:val="2"/>
        </w:numPr>
        <w:spacing w:after="60" w:line="260"/>
      </w:pPr>
      <w:r>
        <w:rPr>
          <w:rFonts w:ascii="Calibri" w:cs="Calibri" w:eastAsia="Calibri" w:hAnsi="Calibri"/>
          <w:sz w:val="20"/>
          <w:szCs w:val="20"/>
        </w:rPr>
        <w:t xml:space="preserve">Sondage trimestriel anonyme (cohérence Plan de communication interne).</w:t>
      </w:r>
    </w:p>
    <w:p>
      <w:pPr>
        <w:pStyle w:val="ListParagraph"/>
        <w:numPr>
          <w:ilvl w:val="0"/>
          <w:numId w:val="2"/>
        </w:numPr>
        <w:spacing w:after="60" w:line="260"/>
      </w:pPr>
      <w:r>
        <w:rPr>
          <w:rFonts w:ascii="Calibri" w:cs="Calibri" w:eastAsia="Calibri" w:hAnsi="Calibri"/>
          <w:sz w:val="20"/>
          <w:szCs w:val="20"/>
        </w:rPr>
        <w:t xml:space="preserve">Questions sur charge, autonomie, reconnaissance, sens, climat.</w:t>
      </w:r>
    </w:p>
    <w:p>
      <w:pPr>
        <w:pStyle w:val="ListParagraph"/>
        <w:numPr>
          <w:ilvl w:val="0"/>
          <w:numId w:val="2"/>
        </w:numPr>
        <w:spacing w:after="60" w:line="260"/>
      </w:pPr>
      <w:r>
        <w:rPr>
          <w:rFonts w:ascii="Calibri" w:cs="Calibri" w:eastAsia="Calibri" w:hAnsi="Calibri"/>
          <w:sz w:val="20"/>
          <w:szCs w:val="20"/>
        </w:rPr>
        <w:t xml:space="preserve">Restitution publique des résultats agrégés (anonymisés).</w:t>
      </w:r>
    </w:p>
    <w:p>
      <w:pPr>
        <w:pStyle w:val="ListParagraph"/>
        <w:numPr>
          <w:ilvl w:val="0"/>
          <w:numId w:val="2"/>
        </w:numPr>
        <w:spacing w:after="60" w:line="260"/>
      </w:pPr>
      <w:r>
        <w:rPr>
          <w:rFonts w:ascii="Calibri" w:cs="Calibri" w:eastAsia="Calibri" w:hAnsi="Calibri"/>
          <w:sz w:val="20"/>
          <w:szCs w:val="20"/>
        </w:rPr>
        <w:t xml:space="preserve">Plan d'action si signaux faibles détectés.</w:t>
      </w:r>
    </w:p>
    <w:p>
      <w:pPr>
        <w:spacing w:after="100" w:before="220"/>
      </w:pPr>
      <w:r>
        <w:rPr>
          <w:rFonts w:ascii="Calibri" w:cs="Calibri" w:eastAsia="Calibri" w:hAnsi="Calibri"/>
          <w:b/>
          <w:bCs/>
          <w:color w:val="E87722"/>
          <w:sz w:val="22"/>
          <w:szCs w:val="22"/>
        </w:rPr>
        <w:t xml:space="preserve">5.2. Entretien annuel</w:t>
      </w:r>
    </w:p>
    <w:p>
      <w:pPr>
        <w:pStyle w:val="ListParagraph"/>
        <w:numPr>
          <w:ilvl w:val="0"/>
          <w:numId w:val="2"/>
        </w:numPr>
        <w:spacing w:after="60" w:line="260"/>
      </w:pPr>
      <w:r>
        <w:rPr>
          <w:rFonts w:ascii="Calibri" w:cs="Calibri" w:eastAsia="Calibri" w:hAnsi="Calibri"/>
          <w:sz w:val="20"/>
          <w:szCs w:val="20"/>
        </w:rPr>
        <w:t xml:space="preserve">Question explicite sur le bien-être (cohérence Modèle d'entretien annuel).</w:t>
      </w:r>
    </w:p>
    <w:p>
      <w:pPr>
        <w:pStyle w:val="ListParagraph"/>
        <w:numPr>
          <w:ilvl w:val="0"/>
          <w:numId w:val="2"/>
        </w:numPr>
        <w:spacing w:after="60" w:line="260"/>
      </w:pPr>
      <w:r>
        <w:rPr>
          <w:rFonts w:ascii="Calibri" w:cs="Calibri" w:eastAsia="Calibri" w:hAnsi="Calibri"/>
          <w:sz w:val="20"/>
          <w:szCs w:val="20"/>
        </w:rPr>
        <w:t xml:space="preserve">Suivi de l'évolution dans le temps.</w:t>
      </w:r>
    </w:p>
    <w:p>
      <w:pPr>
        <w:pStyle w:val="ListParagraph"/>
        <w:numPr>
          <w:ilvl w:val="0"/>
          <w:numId w:val="2"/>
        </w:numPr>
        <w:spacing w:after="60" w:line="260"/>
      </w:pPr>
      <w:r>
        <w:rPr>
          <w:rFonts w:ascii="Calibri" w:cs="Calibri" w:eastAsia="Calibri" w:hAnsi="Calibri"/>
          <w:sz w:val="20"/>
          <w:szCs w:val="20"/>
        </w:rPr>
        <w:t xml:space="preserve">Possibilité d'aborder les difficultés en confiance.</w:t>
      </w:r>
    </w:p>
    <w:p>
      <w:pPr>
        <w:spacing w:after="100" w:before="220"/>
      </w:pPr>
      <w:r>
        <w:rPr>
          <w:rFonts w:ascii="Calibri" w:cs="Calibri" w:eastAsia="Calibri" w:hAnsi="Calibri"/>
          <w:b/>
          <w:bCs/>
          <w:color w:val="E87722"/>
          <w:sz w:val="22"/>
          <w:szCs w:val="22"/>
        </w:rPr>
        <w:t xml:space="preserve">5.3. Signaux d'alerte</w:t>
      </w:r>
    </w:p>
    <w:p>
      <w:pPr>
        <w:pStyle w:val="ListParagraph"/>
        <w:numPr>
          <w:ilvl w:val="0"/>
          <w:numId w:val="2"/>
        </w:numPr>
        <w:spacing w:after="60" w:line="260"/>
      </w:pPr>
      <w:r>
        <w:rPr>
          <w:rFonts w:ascii="Calibri" w:cs="Calibri" w:eastAsia="Calibri" w:hAnsi="Calibri"/>
          <w:sz w:val="20"/>
          <w:szCs w:val="20"/>
        </w:rPr>
        <w:t xml:space="preserve">Augmentation des heures supplémentaires.</w:t>
      </w:r>
    </w:p>
    <w:p>
      <w:pPr>
        <w:pStyle w:val="ListParagraph"/>
        <w:numPr>
          <w:ilvl w:val="0"/>
          <w:numId w:val="2"/>
        </w:numPr>
        <w:spacing w:after="60" w:line="260"/>
      </w:pPr>
      <w:r>
        <w:rPr>
          <w:rFonts w:ascii="Calibri" w:cs="Calibri" w:eastAsia="Calibri" w:hAnsi="Calibri"/>
          <w:sz w:val="20"/>
          <w:szCs w:val="20"/>
        </w:rPr>
        <w:t xml:space="preserve">Diminution de la qualité du travail.</w:t>
      </w:r>
    </w:p>
    <w:p>
      <w:pPr>
        <w:pStyle w:val="ListParagraph"/>
        <w:numPr>
          <w:ilvl w:val="0"/>
          <w:numId w:val="2"/>
        </w:numPr>
        <w:spacing w:after="60" w:line="260"/>
      </w:pPr>
      <w:r>
        <w:rPr>
          <w:rFonts w:ascii="Calibri" w:cs="Calibri" w:eastAsia="Calibri" w:hAnsi="Calibri"/>
          <w:sz w:val="20"/>
          <w:szCs w:val="20"/>
        </w:rPr>
        <w:t xml:space="preserve">Absentéisme.</w:t>
      </w:r>
    </w:p>
    <w:p>
      <w:pPr>
        <w:pStyle w:val="ListParagraph"/>
        <w:numPr>
          <w:ilvl w:val="0"/>
          <w:numId w:val="2"/>
        </w:numPr>
        <w:spacing w:after="60" w:line="260"/>
      </w:pPr>
      <w:r>
        <w:rPr>
          <w:rFonts w:ascii="Calibri" w:cs="Calibri" w:eastAsia="Calibri" w:hAnsi="Calibri"/>
          <w:sz w:val="20"/>
          <w:szCs w:val="20"/>
        </w:rPr>
        <w:t xml:space="preserve">Repli sur soi, irritabilité.</w:t>
      </w:r>
    </w:p>
    <w:p>
      <w:pPr>
        <w:pStyle w:val="ListParagraph"/>
        <w:numPr>
          <w:ilvl w:val="0"/>
          <w:numId w:val="2"/>
        </w:numPr>
        <w:spacing w:after="60" w:line="260"/>
      </w:pPr>
      <w:r>
        <w:rPr>
          <w:rFonts w:ascii="Calibri" w:cs="Calibri" w:eastAsia="Calibri" w:hAnsi="Calibri"/>
          <w:sz w:val="20"/>
          <w:szCs w:val="20"/>
        </w:rPr>
        <w:t xml:space="preserve">Plaintes corporelles répétées (fatigue, douleurs).</w:t>
      </w:r>
    </w:p>
    <w:p>
      <w:pPr>
        <w:pStyle w:val="ListParagraph"/>
        <w:numPr>
          <w:ilvl w:val="0"/>
          <w:numId w:val="2"/>
        </w:numPr>
        <w:spacing w:after="60" w:line="260"/>
      </w:pPr>
      <w:r>
        <w:rPr>
          <w:rFonts w:ascii="Calibri" w:cs="Calibri" w:eastAsia="Calibri" w:hAnsi="Calibri"/>
          <w:sz w:val="20"/>
          <w:szCs w:val="20"/>
        </w:rPr>
        <w:t xml:space="preserve">Conflits relationnels.</w:t>
      </w:r>
    </w:p>
    <w:p>
      <w:pPr>
        <w:spacing w:after="160" w:before="240"/>
      </w:pPr>
      <w:r>
        <w:rPr>
          <w:rFonts w:ascii="Calibri" w:cs="Calibri" w:eastAsia="Calibri" w:hAnsi="Calibri"/>
          <w:b/>
          <w:bCs/>
          <w:color w:val="1F4E79"/>
          <w:sz w:val="32"/>
          <w:szCs w:val="32"/>
        </w:rPr>
        <w:t xml:space="preserve">6. Soutien aux collaborateurs en difficulté</w:t>
      </w:r>
    </w:p>
    <w:p>
      <w:pPr>
        <w:spacing w:after="100" w:before="220"/>
      </w:pPr>
      <w:r>
        <w:rPr>
          <w:rFonts w:ascii="Calibri" w:cs="Calibri" w:eastAsia="Calibri" w:hAnsi="Calibri"/>
          <w:b/>
          <w:bCs/>
          <w:color w:val="E87722"/>
          <w:sz w:val="22"/>
          <w:szCs w:val="22"/>
        </w:rPr>
        <w:t xml:space="preserve">6.1. Première étape — Discussion bienveillante</w:t>
      </w:r>
    </w:p>
    <w:p>
      <w:pPr>
        <w:pStyle w:val="ListParagraph"/>
        <w:numPr>
          <w:ilvl w:val="0"/>
          <w:numId w:val="2"/>
        </w:numPr>
        <w:spacing w:after="60" w:line="260"/>
      </w:pPr>
      <w:r>
        <w:rPr>
          <w:rFonts w:ascii="Calibri" w:cs="Calibri" w:eastAsia="Calibri" w:hAnsi="Calibri"/>
          <w:sz w:val="20"/>
          <w:szCs w:val="20"/>
        </w:rPr>
        <w:t xml:space="preserve">Manager direct ou Président initie une discussion.</w:t>
      </w:r>
    </w:p>
    <w:p>
      <w:pPr>
        <w:pStyle w:val="ListParagraph"/>
        <w:numPr>
          <w:ilvl w:val="0"/>
          <w:numId w:val="2"/>
        </w:numPr>
        <w:spacing w:after="60" w:line="260"/>
      </w:pPr>
      <w:r>
        <w:rPr>
          <w:rFonts w:ascii="Calibri" w:cs="Calibri" w:eastAsia="Calibri" w:hAnsi="Calibri"/>
          <w:sz w:val="20"/>
          <w:szCs w:val="20"/>
        </w:rPr>
        <w:t xml:space="preserve">Confidentialité absolue.</w:t>
      </w:r>
    </w:p>
    <w:p>
      <w:pPr>
        <w:pStyle w:val="ListParagraph"/>
        <w:numPr>
          <w:ilvl w:val="0"/>
          <w:numId w:val="2"/>
        </w:numPr>
        <w:spacing w:after="60" w:line="260"/>
      </w:pPr>
      <w:r>
        <w:rPr>
          <w:rFonts w:ascii="Calibri" w:cs="Calibri" w:eastAsia="Calibri" w:hAnsi="Calibri"/>
          <w:sz w:val="20"/>
          <w:szCs w:val="20"/>
        </w:rPr>
        <w:t xml:space="preserve">Écoute active, pas de jugement.</w:t>
      </w:r>
    </w:p>
    <w:p>
      <w:pPr>
        <w:pStyle w:val="ListParagraph"/>
        <w:numPr>
          <w:ilvl w:val="0"/>
          <w:numId w:val="2"/>
        </w:numPr>
        <w:spacing w:after="60" w:line="260"/>
      </w:pPr>
      <w:r>
        <w:rPr>
          <w:rFonts w:ascii="Calibri" w:cs="Calibri" w:eastAsia="Calibri" w:hAnsi="Calibri"/>
          <w:sz w:val="20"/>
          <w:szCs w:val="20"/>
        </w:rPr>
        <w:t xml:space="preserve">Identification des facteurs concrets.</w:t>
      </w:r>
    </w:p>
    <w:p>
      <w:pPr>
        <w:spacing w:after="100" w:before="220"/>
      </w:pPr>
      <w:r>
        <w:rPr>
          <w:rFonts w:ascii="Calibri" w:cs="Calibri" w:eastAsia="Calibri" w:hAnsi="Calibri"/>
          <w:b/>
          <w:bCs/>
          <w:color w:val="E87722"/>
          <w:sz w:val="22"/>
          <w:szCs w:val="22"/>
        </w:rPr>
        <w:t xml:space="preserve">6.2. Deuxième étape — Mesures d'aménagement</w:t>
      </w:r>
    </w:p>
    <w:p>
      <w:pPr>
        <w:pStyle w:val="ListParagraph"/>
        <w:numPr>
          <w:ilvl w:val="0"/>
          <w:numId w:val="2"/>
        </w:numPr>
        <w:spacing w:after="60" w:line="260"/>
      </w:pPr>
      <w:r>
        <w:rPr>
          <w:rFonts w:ascii="Calibri" w:cs="Calibri" w:eastAsia="Calibri" w:hAnsi="Calibri"/>
          <w:sz w:val="20"/>
          <w:szCs w:val="20"/>
        </w:rPr>
        <w:t xml:space="preserve">Allègement de la charge.</w:t>
      </w:r>
    </w:p>
    <w:p>
      <w:pPr>
        <w:pStyle w:val="ListParagraph"/>
        <w:numPr>
          <w:ilvl w:val="0"/>
          <w:numId w:val="2"/>
        </w:numPr>
        <w:spacing w:after="60" w:line="260"/>
      </w:pPr>
      <w:r>
        <w:rPr>
          <w:rFonts w:ascii="Calibri" w:cs="Calibri" w:eastAsia="Calibri" w:hAnsi="Calibri"/>
          <w:sz w:val="20"/>
          <w:szCs w:val="20"/>
        </w:rPr>
        <w:t xml:space="preserve">Redistribution de tâches.</w:t>
      </w:r>
    </w:p>
    <w:p>
      <w:pPr>
        <w:pStyle w:val="ListParagraph"/>
        <w:numPr>
          <w:ilvl w:val="0"/>
          <w:numId w:val="2"/>
        </w:numPr>
        <w:spacing w:after="60" w:line="260"/>
      </w:pPr>
      <w:r>
        <w:rPr>
          <w:rFonts w:ascii="Calibri" w:cs="Calibri" w:eastAsia="Calibri" w:hAnsi="Calibri"/>
          <w:sz w:val="20"/>
          <w:szCs w:val="20"/>
        </w:rPr>
        <w:t xml:space="preserve">Possibilité de télétravail renforcé.</w:t>
      </w:r>
    </w:p>
    <w:p>
      <w:pPr>
        <w:pStyle w:val="ListParagraph"/>
        <w:numPr>
          <w:ilvl w:val="0"/>
          <w:numId w:val="2"/>
        </w:numPr>
        <w:spacing w:after="60" w:line="260"/>
      </w:pPr>
      <w:r>
        <w:rPr>
          <w:rFonts w:ascii="Calibri" w:cs="Calibri" w:eastAsia="Calibri" w:hAnsi="Calibri"/>
          <w:sz w:val="20"/>
          <w:szCs w:val="20"/>
        </w:rPr>
        <w:t xml:space="preserve">Aménagement horaires.</w:t>
      </w:r>
    </w:p>
    <w:p>
      <w:pPr>
        <w:spacing w:after="100" w:before="220"/>
      </w:pPr>
      <w:r>
        <w:rPr>
          <w:rFonts w:ascii="Calibri" w:cs="Calibri" w:eastAsia="Calibri" w:hAnsi="Calibri"/>
          <w:b/>
          <w:bCs/>
          <w:color w:val="E87722"/>
          <w:sz w:val="22"/>
          <w:szCs w:val="22"/>
        </w:rPr>
        <w:t xml:space="preserve">6.3. Troisième étape — Soutien externe</w:t>
      </w:r>
    </w:p>
    <w:p>
      <w:pPr>
        <w:pStyle w:val="ListParagraph"/>
        <w:numPr>
          <w:ilvl w:val="0"/>
          <w:numId w:val="2"/>
        </w:numPr>
        <w:spacing w:after="60" w:line="260"/>
      </w:pPr>
      <w:r>
        <w:rPr>
          <w:rFonts w:ascii="Calibri" w:cs="Calibri" w:eastAsia="Calibri" w:hAnsi="Calibri"/>
          <w:sz w:val="20"/>
          <w:szCs w:val="20"/>
        </w:rPr>
        <w:t xml:space="preserve">Médecin du travail (consultation possible).</w:t>
      </w:r>
    </w:p>
    <w:p>
      <w:pPr>
        <w:pStyle w:val="ListParagraph"/>
        <w:numPr>
          <w:ilvl w:val="0"/>
          <w:numId w:val="2"/>
        </w:numPr>
        <w:spacing w:after="60" w:line="260"/>
      </w:pPr>
      <w:r>
        <w:rPr>
          <w:rFonts w:ascii="Calibri" w:cs="Calibri" w:eastAsia="Calibri" w:hAnsi="Calibri"/>
          <w:sz w:val="20"/>
          <w:szCs w:val="20"/>
        </w:rPr>
        <w:t xml:space="preserve">Psychologue partenaire (séances prises en charge — cible An 2).</w:t>
      </w:r>
    </w:p>
    <w:p>
      <w:pPr>
        <w:pStyle w:val="ListParagraph"/>
        <w:numPr>
          <w:ilvl w:val="0"/>
          <w:numId w:val="2"/>
        </w:numPr>
        <w:spacing w:after="60" w:line="260"/>
      </w:pPr>
      <w:r>
        <w:rPr>
          <w:rFonts w:ascii="Calibri" w:cs="Calibri" w:eastAsia="Calibri" w:hAnsi="Calibri"/>
          <w:sz w:val="20"/>
          <w:szCs w:val="20"/>
        </w:rPr>
        <w:t xml:space="preserve">Coaching professionnel si pertinent.</w:t>
      </w:r>
    </w:p>
    <w:p>
      <w:pPr>
        <w:spacing w:after="100" w:before="220"/>
      </w:pPr>
      <w:r>
        <w:rPr>
          <w:rFonts w:ascii="Calibri" w:cs="Calibri" w:eastAsia="Calibri" w:hAnsi="Calibri"/>
          <w:b/>
          <w:bCs/>
          <w:color w:val="E87722"/>
          <w:sz w:val="22"/>
          <w:szCs w:val="22"/>
        </w:rPr>
        <w:t xml:space="preserve">6.4. Quatrième étape — Arrêt si nécessaire</w:t>
      </w:r>
    </w:p>
    <w:p>
      <w:pPr>
        <w:pStyle w:val="ListParagraph"/>
        <w:numPr>
          <w:ilvl w:val="0"/>
          <w:numId w:val="2"/>
        </w:numPr>
        <w:spacing w:after="60" w:line="260"/>
      </w:pPr>
      <w:r>
        <w:rPr>
          <w:rFonts w:ascii="Calibri" w:cs="Calibri" w:eastAsia="Calibri" w:hAnsi="Calibri"/>
          <w:sz w:val="20"/>
          <w:szCs w:val="20"/>
        </w:rPr>
        <w:t xml:space="preserve">Arrêt maladie respecté sans culpabilisation.</w:t>
      </w:r>
    </w:p>
    <w:p>
      <w:pPr>
        <w:pStyle w:val="ListParagraph"/>
        <w:numPr>
          <w:ilvl w:val="0"/>
          <w:numId w:val="2"/>
        </w:numPr>
        <w:spacing w:after="60" w:line="260"/>
      </w:pPr>
      <w:r>
        <w:rPr>
          <w:rFonts w:ascii="Calibri" w:cs="Calibri" w:eastAsia="Calibri" w:hAnsi="Calibri"/>
          <w:sz w:val="20"/>
          <w:szCs w:val="20"/>
        </w:rPr>
        <w:t xml:space="preserve">Maintien du salaire pendant la durée légale.</w:t>
      </w:r>
    </w:p>
    <w:p>
      <w:pPr>
        <w:pStyle w:val="ListParagraph"/>
        <w:numPr>
          <w:ilvl w:val="0"/>
          <w:numId w:val="2"/>
        </w:numPr>
        <w:spacing w:after="60" w:line="260"/>
      </w:pPr>
      <w:r>
        <w:rPr>
          <w:rFonts w:ascii="Calibri" w:cs="Calibri" w:eastAsia="Calibri" w:hAnsi="Calibri"/>
          <w:sz w:val="20"/>
          <w:szCs w:val="20"/>
        </w:rPr>
        <w:t xml:space="preserve">Retour progressif accompagné.</w:t>
      </w:r>
    </w:p>
    <w:p>
      <w:pPr>
        <w:pStyle w:val="ListParagraph"/>
        <w:numPr>
          <w:ilvl w:val="0"/>
          <w:numId w:val="2"/>
        </w:numPr>
        <w:spacing w:after="60" w:line="260"/>
      </w:pPr>
      <w:r>
        <w:rPr>
          <w:rFonts w:ascii="Calibri" w:cs="Calibri" w:eastAsia="Calibri" w:hAnsi="Calibri"/>
          <w:sz w:val="20"/>
          <w:szCs w:val="20"/>
        </w:rPr>
        <w:t xml:space="preserve">Refus de la pression au retour anticipé.</w:t>
      </w:r>
    </w:p>
    <w:p>
      <w:pPr>
        <w:spacing w:after="160" w:before="240"/>
      </w:pPr>
      <w:r>
        <w:rPr>
          <w:rFonts w:ascii="Calibri" w:cs="Calibri" w:eastAsia="Calibri" w:hAnsi="Calibri"/>
          <w:b/>
          <w:bCs/>
          <w:color w:val="1F4E79"/>
          <w:sz w:val="32"/>
          <w:szCs w:val="32"/>
        </w:rPr>
        <w:t xml:space="preserve">7. Référents et acteurs</w:t>
      </w:r>
    </w:p>
    <w:p>
      <w:pPr>
        <w:pStyle w:val="ListParagraph"/>
        <w:numPr>
          <w:ilvl w:val="0"/>
          <w:numId w:val="2"/>
        </w:numPr>
        <w:spacing w:after="60" w:line="260"/>
      </w:pPr>
      <w:r>
        <w:rPr>
          <w:rFonts w:ascii="Calibri" w:cs="Calibri" w:eastAsia="Calibri" w:hAnsi="Calibri"/>
          <w:sz w:val="20"/>
          <w:szCs w:val="20"/>
        </w:rPr>
        <w:t xml:space="preserve">Référent harcèlement et discrimination (≥ 11 salariés — anticipation Eventy).</w:t>
      </w:r>
    </w:p>
    <w:p>
      <w:pPr>
        <w:pStyle w:val="ListParagraph"/>
        <w:numPr>
          <w:ilvl w:val="0"/>
          <w:numId w:val="2"/>
        </w:numPr>
        <w:spacing w:after="60" w:line="260"/>
      </w:pPr>
      <w:r>
        <w:rPr>
          <w:rFonts w:ascii="Calibri" w:cs="Calibri" w:eastAsia="Calibri" w:hAnsi="Calibri"/>
          <w:sz w:val="20"/>
          <w:szCs w:val="20"/>
        </w:rPr>
        <w:t xml:space="preserve">Médecin du travail (service interentreprises).</w:t>
      </w:r>
    </w:p>
    <w:p>
      <w:pPr>
        <w:pStyle w:val="ListParagraph"/>
        <w:numPr>
          <w:ilvl w:val="0"/>
          <w:numId w:val="2"/>
        </w:numPr>
        <w:spacing w:after="60" w:line="260"/>
      </w:pPr>
      <w:r>
        <w:rPr>
          <w:rFonts w:ascii="Calibri" w:cs="Calibri" w:eastAsia="Calibri" w:hAnsi="Calibri"/>
          <w:sz w:val="20"/>
          <w:szCs w:val="20"/>
        </w:rPr>
        <w:t xml:space="preserve">Psychologue partenaire externe (cible An 2).</w:t>
      </w:r>
    </w:p>
    <w:p>
      <w:pPr>
        <w:pStyle w:val="ListParagraph"/>
        <w:numPr>
          <w:ilvl w:val="0"/>
          <w:numId w:val="2"/>
        </w:numPr>
        <w:spacing w:after="60" w:line="260"/>
      </w:pPr>
      <w:r>
        <w:rPr>
          <w:rFonts w:ascii="Calibri" w:cs="Calibri" w:eastAsia="Calibri" w:hAnsi="Calibri"/>
          <w:sz w:val="20"/>
          <w:szCs w:val="20"/>
        </w:rPr>
        <w:t xml:space="preserve">Cohérence avec Procédure de signalement (alerte@eventylife.fr).</w:t>
      </w:r>
    </w:p>
    <w:p>
      <w:pPr>
        <w:spacing w:after="160" w:before="240"/>
      </w:pPr>
      <w:r>
        <w:rPr>
          <w:rFonts w:ascii="Calibri" w:cs="Calibri" w:eastAsia="Calibri" w:hAnsi="Calibri"/>
          <w:b/>
          <w:bCs/>
          <w:color w:val="1F4E79"/>
          <w:sz w:val="32"/>
          <w:szCs w:val="32"/>
        </w:rPr>
        <w:t xml:space="preserve">8. Formation et sensibilisation</w:t>
      </w:r>
    </w:p>
    <w:p>
      <w:pPr>
        <w:pStyle w:val="ListParagraph"/>
        <w:numPr>
          <w:ilvl w:val="0"/>
          <w:numId w:val="2"/>
        </w:numPr>
        <w:spacing w:after="60" w:line="260"/>
      </w:pPr>
      <w:r>
        <w:rPr>
          <w:rFonts w:ascii="Calibri" w:cs="Calibri" w:eastAsia="Calibri" w:hAnsi="Calibri"/>
          <w:sz w:val="20"/>
          <w:szCs w:val="20"/>
        </w:rPr>
        <w:t xml:space="preserve">Sensibilisation aux RPS dans l'onboarding (cohérence Procédure de recrutement).</w:t>
      </w:r>
    </w:p>
    <w:p>
      <w:pPr>
        <w:pStyle w:val="ListParagraph"/>
        <w:numPr>
          <w:ilvl w:val="0"/>
          <w:numId w:val="2"/>
        </w:numPr>
        <w:spacing w:after="60" w:line="260"/>
      </w:pPr>
      <w:r>
        <w:rPr>
          <w:rFonts w:ascii="Calibri" w:cs="Calibri" w:eastAsia="Calibri" w:hAnsi="Calibri"/>
          <w:sz w:val="20"/>
          <w:szCs w:val="20"/>
        </w:rPr>
        <w:t xml:space="preserve">Module annuel de rappel.</w:t>
      </w:r>
    </w:p>
    <w:p>
      <w:pPr>
        <w:pStyle w:val="ListParagraph"/>
        <w:numPr>
          <w:ilvl w:val="0"/>
          <w:numId w:val="2"/>
        </w:numPr>
        <w:spacing w:after="60" w:line="260"/>
      </w:pPr>
      <w:r>
        <w:rPr>
          <w:rFonts w:ascii="Calibri" w:cs="Calibri" w:eastAsia="Calibri" w:hAnsi="Calibri"/>
          <w:sz w:val="20"/>
          <w:szCs w:val="20"/>
        </w:rPr>
        <w:t xml:space="preserve">Formation managers à la détection des signaux faibles (cohérence Plan de formation interne).</w:t>
      </w:r>
    </w:p>
    <w:p>
      <w:pPr>
        <w:pStyle w:val="ListParagraph"/>
        <w:numPr>
          <w:ilvl w:val="0"/>
          <w:numId w:val="2"/>
        </w:numPr>
        <w:spacing w:after="60" w:line="260"/>
      </w:pPr>
      <w:r>
        <w:rPr>
          <w:rFonts w:ascii="Calibri" w:cs="Calibri" w:eastAsia="Calibri" w:hAnsi="Calibri"/>
          <w:sz w:val="20"/>
          <w:szCs w:val="20"/>
        </w:rPr>
        <w:t xml:space="preserve">Communication sur les ressources disponibles.</w:t>
      </w:r>
    </w:p>
    <w:p>
      <w:pPr>
        <w:spacing w:after="160" w:before="240"/>
      </w:pPr>
      <w:r>
        <w:rPr>
          <w:rFonts w:ascii="Calibri" w:cs="Calibri" w:eastAsia="Calibri" w:hAnsi="Calibri"/>
          <w:b/>
          <w:bCs/>
          <w:color w:val="1F4E79"/>
          <w:sz w:val="32"/>
          <w:szCs w:val="32"/>
        </w:rPr>
        <w:t xml:space="preserve">9.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Cas de burnout</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Arrêts maladie longue durée (RPS)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NPS interne (eNPS)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+ 30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+ 50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Charge de travail moyenne (heures/semaine)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40 h</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38 h</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de prise des congés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Sondage bien-être ≥ 7/10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90 %</w:t>
            </w:r>
          </w:p>
        </w:tc>
      </w:tr>
    </w:tbl>
    <w:p>
      <w:pPr>
        <w:spacing w:after="160" w:before="240"/>
      </w:pPr>
      <w:r>
        <w:rPr>
          <w:rFonts w:ascii="Calibri" w:cs="Calibri" w:eastAsia="Calibri" w:hAnsi="Calibri"/>
          <w:b/>
          <w:bCs/>
          <w:color w:val="1F4E79"/>
          <w:sz w:val="32"/>
          <w:szCs w:val="32"/>
        </w:rPr>
        <w:t xml:space="preserve">10. Engagements opposables</w:t>
      </w:r>
    </w:p>
    <w:p>
      <w:pPr>
        <w:pStyle w:val="ListParagraph"/>
        <w:numPr>
          <w:ilvl w:val="0"/>
          <w:numId w:val="2"/>
        </w:numPr>
        <w:spacing w:after="60" w:line="260"/>
      </w:pPr>
      <w:r>
        <w:rPr>
          <w:rFonts w:ascii="Calibri" w:cs="Calibri" w:eastAsia="Calibri" w:hAnsi="Calibri"/>
          <w:sz w:val="20"/>
          <w:szCs w:val="20"/>
        </w:rPr>
        <w:t xml:space="preserve">Refus de la culture du sur-travail.</w:t>
      </w:r>
    </w:p>
    <w:p>
      <w:pPr>
        <w:pStyle w:val="ListParagraph"/>
        <w:numPr>
          <w:ilvl w:val="0"/>
          <w:numId w:val="2"/>
        </w:numPr>
        <w:spacing w:after="60" w:line="260"/>
      </w:pPr>
      <w:r>
        <w:rPr>
          <w:rFonts w:ascii="Calibri" w:cs="Calibri" w:eastAsia="Calibri" w:hAnsi="Calibri"/>
          <w:sz w:val="20"/>
          <w:szCs w:val="20"/>
        </w:rPr>
        <w:t xml:space="preserve">Droit à la déconnexion absolu.</w:t>
      </w:r>
    </w:p>
    <w:p>
      <w:pPr>
        <w:pStyle w:val="ListParagraph"/>
        <w:numPr>
          <w:ilvl w:val="0"/>
          <w:numId w:val="2"/>
        </w:numPr>
        <w:spacing w:after="60" w:line="260"/>
      </w:pPr>
      <w:r>
        <w:rPr>
          <w:rFonts w:ascii="Calibri" w:cs="Calibri" w:eastAsia="Calibri" w:hAnsi="Calibri"/>
          <w:sz w:val="20"/>
          <w:szCs w:val="20"/>
        </w:rPr>
        <w:t xml:space="preserve">Refus de la culpabilisation des arrêts maladie.</w:t>
      </w:r>
    </w:p>
    <w:p>
      <w:pPr>
        <w:pStyle w:val="ListParagraph"/>
        <w:numPr>
          <w:ilvl w:val="0"/>
          <w:numId w:val="2"/>
        </w:numPr>
        <w:spacing w:after="60" w:line="260"/>
      </w:pPr>
      <w:r>
        <w:rPr>
          <w:rFonts w:ascii="Calibri" w:cs="Calibri" w:eastAsia="Calibri" w:hAnsi="Calibri"/>
          <w:sz w:val="20"/>
          <w:szCs w:val="20"/>
        </w:rPr>
        <w:t xml:space="preserve">Confidentialité absolue des cas individuels.</w:t>
      </w:r>
    </w:p>
    <w:p>
      <w:pPr>
        <w:pStyle w:val="ListParagraph"/>
        <w:numPr>
          <w:ilvl w:val="0"/>
          <w:numId w:val="2"/>
        </w:numPr>
        <w:spacing w:after="60" w:line="260"/>
      </w:pPr>
      <w:r>
        <w:rPr>
          <w:rFonts w:ascii="Calibri" w:cs="Calibri" w:eastAsia="Calibri" w:hAnsi="Calibri"/>
          <w:sz w:val="20"/>
          <w:szCs w:val="20"/>
        </w:rPr>
        <w:t xml:space="preserve">Soutien externe (psychologue, médecin) en cas de besoin.</w:t>
      </w:r>
    </w:p>
    <w:p>
      <w:pPr>
        <w:pStyle w:val="ListParagraph"/>
        <w:numPr>
          <w:ilvl w:val="0"/>
          <w:numId w:val="2"/>
        </w:numPr>
        <w:spacing w:after="60" w:line="260"/>
      </w:pPr>
      <w:r>
        <w:rPr>
          <w:rFonts w:ascii="Calibri" w:cs="Calibri" w:eastAsia="Calibri" w:hAnsi="Calibri"/>
          <w:sz w:val="20"/>
          <w:szCs w:val="20"/>
        </w:rPr>
        <w:t xml:space="preserve">Anticipation et prévention plutôt que curatif.</w:t>
      </w:r>
    </w:p>
    <w:p>
      <w:pPr>
        <w:pStyle w:val="ListParagraph"/>
        <w:numPr>
          <w:ilvl w:val="0"/>
          <w:numId w:val="2"/>
        </w:numPr>
        <w:spacing w:after="60" w:line="260"/>
      </w:pPr>
      <w:r>
        <w:rPr>
          <w:rFonts w:ascii="Calibri" w:cs="Calibri" w:eastAsia="Calibri" w:hAnsi="Calibri"/>
          <w:sz w:val="20"/>
          <w:szCs w:val="20"/>
        </w:rPr>
        <w:t xml:space="preserve">Refus du double standard (dirigeant inclus dans la prévention).</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 Version 1.0 — 2 mai 2026. Mise à jour annuelle.</w:t>
      </w:r>
    </w:p>
    <w:p>
      <w:pPr>
        <w:spacing w:after="100" w:line="280"/>
        <w:jc w:val="both"/>
      </w:pPr>
      <w:r>
        <w:rPr>
          <w:rFonts w:ascii="Calibri" w:cs="Calibri" w:eastAsia="Calibri" w:hAnsi="Calibri"/>
          <w:i/>
          <w:iCs/>
          <w:color w:val="555555"/>
          <w:sz w:val="18"/>
          <w:szCs w:val="18"/>
        </w:rPr>
        <w:t xml:space="preserve">Cohérence avec : Charte télétravail, Charte des valeurs et code éthique équipe, Modèle d'entretien annuel, Procédure de recrutement, Procédure de signalement, Politique de gestion des conflits d'intérêts, Plan de communication interne, Plan de formation interne, Politique RSE (pilier social), AME-EVENTY.md.</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Plan prévention burnout équipe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Plan de prévention du burnout équipe</dc:title>
  <dc:creator>David Eventy — Eventy Life SAS</dc:creator>
  <dc:description>Santé mentale, charge de travail et soutien des collaborateurs.</dc:description>
  <cp:lastModifiedBy>Un-named</cp:lastModifiedBy>
  <cp:revision>1</cp:revision>
  <dcterms:created xsi:type="dcterms:W3CDTF">2026-05-02T05:37:59.885Z</dcterms:created>
  <dcterms:modified xsi:type="dcterms:W3CDTF">2026-05-02T05:37:59.885Z</dcterms:modified>
</cp:coreProperties>
</file>

<file path=docProps/custom.xml><?xml version="1.0" encoding="utf-8"?>
<Properties xmlns="http://schemas.openxmlformats.org/officeDocument/2006/custom-properties" xmlns:vt="http://schemas.openxmlformats.org/officeDocument/2006/docPropsVTypes"/>
</file>