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7722" w:sz="18"/>
              <w:left w:val="single" w:color="E87722" w:sz="18"/>
              <w:bottom w:val="single" w:color="E87722" w:sz="18"/>
              <w:right w:val="single" w:color="E87722" w:sz="18"/>
            </w:tcBorders>
            <w:shd w:fill="FFF8EE" w:val="clear"/>
            <w:tcMar>
              <w:top w:type="dxa" w:w="200"/>
              <w:left w:type="dxa" w:w="240"/>
              <w:bottom w:type="dxa" w:w="200"/>
              <w:right w:type="dxa" w:w="240"/>
            </w:tcMar>
          </w:tcPr>
          <w:p>
            <w:pPr>
              <w:spacing w:after="60"/>
              <w:jc w:val="center"/>
            </w:pPr>
            <w:r>
              <w:rPr>
                <w:rFonts w:ascii="Calibri" w:cs="Calibri" w:eastAsia="Calibri" w:hAnsi="Calibri"/>
                <w:b/>
                <w:bCs/>
                <w:color w:val="E87722"/>
                <w:sz w:val="28"/>
                <w:szCs w:val="28"/>
              </w:rPr>
              <w:t xml:space="preserve">PLAN DE SUCCESSION DIRIGEANT EVENTY</w:t>
            </w:r>
          </w:p>
          <w:p>
            <w:pPr>
              <w:spacing w:after="0"/>
              <w:jc w:val="center"/>
            </w:pPr>
            <w:r>
              <w:rPr>
                <w:rFonts w:ascii="Calibri" w:cs="Calibri" w:eastAsia="Calibri" w:hAnsi="Calibri"/>
                <w:i/>
                <w:iCs/>
                <w:color w:val="1F4E79"/>
                <w:sz w:val="18"/>
                <w:szCs w:val="18"/>
              </w:rPr>
              <w:t xml:space="preserve">Continuité du dirigeant et résilience corporate</w:t>
            </w:r>
          </w:p>
        </w:tc>
      </w:tr>
    </w:tbl>
    <w:p>
      <w:pPr>
        <w:spacing w:after="160"/>
      </w:pPr>
      <w:r>
        <w:t xml:space="preserve"/>
      </w:r>
    </w:p>
    <w:p>
      <w:pPr>
        <w:spacing w:after="100" w:line="280"/>
        <w:jc w:val="both"/>
      </w:pPr>
      <w:r>
        <w:rPr>
          <w:rFonts w:ascii="Calibri" w:cs="Calibri" w:eastAsia="Calibri" w:hAnsi="Calibri"/>
          <w:i/>
          <w:iCs/>
          <w:color w:val="1A1A1A"/>
          <w:sz w:val="20"/>
          <w:szCs w:val="20"/>
        </w:rPr>
        <w:t xml:space="preserve">Le présent plan formalise la stratégie de continuité d'EVENTY LIFE SAS en cas d'indisponibilité, démission ou disparition du dirigeant (Président David Eventy). Il complète le Plan de continuité d'activité (qui couvre la résilience opérationnelle), le Pacte d'associés Seed (qui couvre la gouvernance) et la Procédure de gestion de crise communication.</w:t>
      </w:r>
    </w:p>
    <w:p>
      <w:pPr>
        <w:spacing w:after="100" w:line="280"/>
        <w:jc w:val="both"/>
      </w:pPr>
      <w:r>
        <w:rPr>
          <w:rFonts w:ascii="Calibri" w:cs="Calibri" w:eastAsia="Calibri" w:hAnsi="Calibri"/>
          <w:i/>
          <w:iCs/>
          <w:color w:val="1A1A1A"/>
          <w:sz w:val="20"/>
          <w:szCs w:val="20"/>
        </w:rPr>
        <w:t xml:space="preserve">Eventy reconnaît que sa dépendance au dirigeant est forte (modèle « founder-led »). Plutôt que d'éluder ce risque, nous l'anticipons. La continuité d'activité ne dépend pas que d'une personne — elle dépend d'un système documenté, d'une équipe formée et d'un dispositif juridique solide.</w:t>
      </w:r>
    </w:p>
    <w:p>
      <w:pPr>
        <w:spacing w:after="160" w:before="240"/>
      </w:pPr>
      <w:r>
        <w:rPr>
          <w:rFonts w:ascii="Calibri" w:cs="Calibri" w:eastAsia="Calibri" w:hAnsi="Calibri"/>
          <w:b/>
          <w:bCs/>
          <w:color w:val="1F4E79"/>
          <w:sz w:val="32"/>
          <w:szCs w:val="32"/>
        </w:rPr>
        <w:t xml:space="preserve">1. Cadre de référence</w:t>
      </w:r>
    </w:p>
    <w:p>
      <w:pPr>
        <w:pStyle w:val="ListParagraph"/>
        <w:numPr>
          <w:ilvl w:val="0"/>
          <w:numId w:val="2"/>
        </w:numPr>
        <w:spacing w:after="60" w:line="260"/>
      </w:pPr>
      <w:r>
        <w:rPr>
          <w:rFonts w:ascii="Calibri" w:cs="Calibri" w:eastAsia="Calibri" w:hAnsi="Calibri"/>
          <w:sz w:val="20"/>
          <w:szCs w:val="20"/>
        </w:rPr>
        <w:t xml:space="preserve">Statuts SAS Eventy Life (cohérence Statuts SAS).</w:t>
      </w:r>
    </w:p>
    <w:p>
      <w:pPr>
        <w:pStyle w:val="ListParagraph"/>
        <w:numPr>
          <w:ilvl w:val="0"/>
          <w:numId w:val="2"/>
        </w:numPr>
        <w:spacing w:after="60" w:line="260"/>
      </w:pPr>
      <w:r>
        <w:rPr>
          <w:rFonts w:ascii="Calibri" w:cs="Calibri" w:eastAsia="Calibri" w:hAnsi="Calibri"/>
          <w:sz w:val="20"/>
          <w:szCs w:val="20"/>
        </w:rPr>
        <w:t xml:space="preserve">Pacte d'associés Seed (cohérence).</w:t>
      </w:r>
    </w:p>
    <w:p>
      <w:pPr>
        <w:pStyle w:val="ListParagraph"/>
        <w:numPr>
          <w:ilvl w:val="0"/>
          <w:numId w:val="2"/>
        </w:numPr>
        <w:spacing w:after="60" w:line="260"/>
      </w:pPr>
      <w:r>
        <w:rPr>
          <w:rFonts w:ascii="Calibri" w:cs="Calibri" w:eastAsia="Calibri" w:hAnsi="Calibri"/>
          <w:sz w:val="20"/>
          <w:szCs w:val="20"/>
        </w:rPr>
        <w:t xml:space="preserve">Code commerce — articles L227-6 et suivants.</w:t>
      </w:r>
    </w:p>
    <w:p>
      <w:pPr>
        <w:pStyle w:val="ListParagraph"/>
        <w:numPr>
          <w:ilvl w:val="0"/>
          <w:numId w:val="2"/>
        </w:numPr>
        <w:spacing w:after="60" w:line="260"/>
      </w:pPr>
      <w:r>
        <w:rPr>
          <w:rFonts w:ascii="Calibri" w:cs="Calibri" w:eastAsia="Calibri" w:hAnsi="Calibri"/>
          <w:sz w:val="20"/>
          <w:szCs w:val="20"/>
        </w:rPr>
        <w:t xml:space="preserve">Plan de continuité d'activité Eventy.</w:t>
      </w:r>
    </w:p>
    <w:p>
      <w:pPr>
        <w:pStyle w:val="ListParagraph"/>
        <w:numPr>
          <w:ilvl w:val="0"/>
          <w:numId w:val="2"/>
        </w:numPr>
        <w:spacing w:after="60" w:line="260"/>
      </w:pPr>
      <w:r>
        <w:rPr>
          <w:rFonts w:ascii="Calibri" w:cs="Calibri" w:eastAsia="Calibri" w:hAnsi="Calibri"/>
          <w:sz w:val="20"/>
          <w:szCs w:val="20"/>
        </w:rPr>
        <w:t xml:space="preserve">Procédure de gestion de crise communication.</w:t>
      </w:r>
    </w:p>
    <w:p>
      <w:pPr>
        <w:spacing w:after="160" w:before="240"/>
      </w:pPr>
      <w:r>
        <w:rPr>
          <w:rFonts w:ascii="Calibri" w:cs="Calibri" w:eastAsia="Calibri" w:hAnsi="Calibri"/>
          <w:b/>
          <w:bCs/>
          <w:color w:val="1F4E79"/>
          <w:sz w:val="32"/>
          <w:szCs w:val="32"/>
        </w:rPr>
        <w:t xml:space="preserve">2. Niveaux d'indisponibilité</w:t>
      </w:r>
    </w:p>
    <w:p>
      <w:pPr>
        <w:spacing w:after="100" w:before="220"/>
      </w:pPr>
      <w:r>
        <w:rPr>
          <w:rFonts w:ascii="Calibri" w:cs="Calibri" w:eastAsia="Calibri" w:hAnsi="Calibri"/>
          <w:b/>
          <w:bCs/>
          <w:color w:val="E87722"/>
          <w:sz w:val="22"/>
          <w:szCs w:val="22"/>
        </w:rPr>
        <w:t xml:space="preserve">2.1. Niveau 1 — Indisponibilité courte (&lt; 7 jours)</w:t>
      </w:r>
    </w:p>
    <w:p>
      <w:pPr>
        <w:pStyle w:val="ListParagraph"/>
        <w:numPr>
          <w:ilvl w:val="0"/>
          <w:numId w:val="2"/>
        </w:numPr>
        <w:spacing w:after="60" w:line="260"/>
      </w:pPr>
      <w:r>
        <w:rPr>
          <w:rFonts w:ascii="Calibri" w:cs="Calibri" w:eastAsia="Calibri" w:hAnsi="Calibri"/>
          <w:sz w:val="20"/>
          <w:szCs w:val="20"/>
        </w:rPr>
        <w:t xml:space="preserve">Vacances, déplacement, maladie courte.</w:t>
      </w:r>
    </w:p>
    <w:p>
      <w:pPr>
        <w:pStyle w:val="ListParagraph"/>
        <w:numPr>
          <w:ilvl w:val="0"/>
          <w:numId w:val="2"/>
        </w:numPr>
        <w:spacing w:after="60" w:line="260"/>
      </w:pPr>
      <w:r>
        <w:rPr>
          <w:rFonts w:ascii="Calibri" w:cs="Calibri" w:eastAsia="Calibri" w:hAnsi="Calibri"/>
          <w:sz w:val="20"/>
          <w:szCs w:val="20"/>
        </w:rPr>
        <w:t xml:space="preserve">Continuité opérationnelle assurée par l'équipe sans formalisme particulier.</w:t>
      </w:r>
    </w:p>
    <w:p>
      <w:pPr>
        <w:pStyle w:val="ListParagraph"/>
        <w:numPr>
          <w:ilvl w:val="0"/>
          <w:numId w:val="2"/>
        </w:numPr>
        <w:spacing w:after="60" w:line="260"/>
      </w:pPr>
      <w:r>
        <w:rPr>
          <w:rFonts w:ascii="Calibri" w:cs="Calibri" w:eastAsia="Calibri" w:hAnsi="Calibri"/>
          <w:sz w:val="20"/>
          <w:szCs w:val="20"/>
        </w:rPr>
        <w:t xml:space="preserve">Délégation tacite des décisions opérationnelles à l'équipe.</w:t>
      </w:r>
    </w:p>
    <w:p>
      <w:pPr>
        <w:pStyle w:val="ListParagraph"/>
        <w:numPr>
          <w:ilvl w:val="0"/>
          <w:numId w:val="2"/>
        </w:numPr>
        <w:spacing w:after="60" w:line="260"/>
      </w:pPr>
      <w:r>
        <w:rPr>
          <w:rFonts w:ascii="Calibri" w:cs="Calibri" w:eastAsia="Calibri" w:hAnsi="Calibri"/>
          <w:sz w:val="20"/>
          <w:szCs w:val="20"/>
        </w:rPr>
        <w:t xml:space="preserve">Aucune décision stratégique sans le Président (sauf urgence).</w:t>
      </w:r>
    </w:p>
    <w:p>
      <w:pPr>
        <w:spacing w:after="100" w:before="220"/>
      </w:pPr>
      <w:r>
        <w:rPr>
          <w:rFonts w:ascii="Calibri" w:cs="Calibri" w:eastAsia="Calibri" w:hAnsi="Calibri"/>
          <w:b/>
          <w:bCs/>
          <w:color w:val="E87722"/>
          <w:sz w:val="22"/>
          <w:szCs w:val="22"/>
        </w:rPr>
        <w:t xml:space="preserve">2.2. Niveau 2 — Indisponibilité moyenne (1 semaine à 3 mois)</w:t>
      </w:r>
    </w:p>
    <w:p>
      <w:pPr>
        <w:pStyle w:val="ListParagraph"/>
        <w:numPr>
          <w:ilvl w:val="0"/>
          <w:numId w:val="2"/>
        </w:numPr>
        <w:spacing w:after="60" w:line="260"/>
      </w:pPr>
      <w:r>
        <w:rPr>
          <w:rFonts w:ascii="Calibri" w:cs="Calibri" w:eastAsia="Calibri" w:hAnsi="Calibri"/>
          <w:sz w:val="20"/>
          <w:szCs w:val="20"/>
        </w:rPr>
        <w:t xml:space="preserve">Maladie longue, congé parental, convalescence.</w:t>
      </w:r>
    </w:p>
    <w:p>
      <w:pPr>
        <w:pStyle w:val="ListParagraph"/>
        <w:numPr>
          <w:ilvl w:val="0"/>
          <w:numId w:val="2"/>
        </w:numPr>
        <w:spacing w:after="60" w:line="260"/>
      </w:pPr>
      <w:r>
        <w:rPr>
          <w:rFonts w:ascii="Calibri" w:cs="Calibri" w:eastAsia="Calibri" w:hAnsi="Calibri"/>
          <w:sz w:val="20"/>
          <w:szCs w:val="20"/>
        </w:rPr>
        <w:t xml:space="preserve">Activation du dispositif de délégation (cohérence statuts SAS).</w:t>
      </w:r>
    </w:p>
    <w:p>
      <w:pPr>
        <w:pStyle w:val="ListParagraph"/>
        <w:numPr>
          <w:ilvl w:val="0"/>
          <w:numId w:val="2"/>
        </w:numPr>
        <w:spacing w:after="60" w:line="260"/>
      </w:pPr>
      <w:r>
        <w:rPr>
          <w:rFonts w:ascii="Calibri" w:cs="Calibri" w:eastAsia="Calibri" w:hAnsi="Calibri"/>
          <w:sz w:val="20"/>
          <w:szCs w:val="20"/>
        </w:rPr>
        <w:t xml:space="preserve">Information aux investisseurs et associés.</w:t>
      </w:r>
    </w:p>
    <w:p>
      <w:pPr>
        <w:pStyle w:val="ListParagraph"/>
        <w:numPr>
          <w:ilvl w:val="0"/>
          <w:numId w:val="2"/>
        </w:numPr>
        <w:spacing w:after="60" w:line="260"/>
      </w:pPr>
      <w:r>
        <w:rPr>
          <w:rFonts w:ascii="Calibri" w:cs="Calibri" w:eastAsia="Calibri" w:hAnsi="Calibri"/>
          <w:sz w:val="20"/>
          <w:szCs w:val="20"/>
        </w:rPr>
        <w:t xml:space="preserve">Communication équipe interne.</w:t>
      </w:r>
    </w:p>
    <w:p>
      <w:pPr>
        <w:spacing w:after="100" w:before="220"/>
      </w:pPr>
      <w:r>
        <w:rPr>
          <w:rFonts w:ascii="Calibri" w:cs="Calibri" w:eastAsia="Calibri" w:hAnsi="Calibri"/>
          <w:b/>
          <w:bCs/>
          <w:color w:val="E87722"/>
          <w:sz w:val="22"/>
          <w:szCs w:val="22"/>
        </w:rPr>
        <w:t xml:space="preserve">2.3. Niveau 3 — Indisponibilité longue (&gt; 3 mois)</w:t>
      </w:r>
    </w:p>
    <w:p>
      <w:pPr>
        <w:pStyle w:val="ListParagraph"/>
        <w:numPr>
          <w:ilvl w:val="0"/>
          <w:numId w:val="2"/>
        </w:numPr>
        <w:spacing w:after="60" w:line="260"/>
      </w:pPr>
      <w:r>
        <w:rPr>
          <w:rFonts w:ascii="Calibri" w:cs="Calibri" w:eastAsia="Calibri" w:hAnsi="Calibri"/>
          <w:sz w:val="20"/>
          <w:szCs w:val="20"/>
        </w:rPr>
        <w:t xml:space="preserve">Maladie grave, incapacité prolongée, indisponibilité ≥ 3 mois.</w:t>
      </w:r>
    </w:p>
    <w:p>
      <w:pPr>
        <w:pStyle w:val="ListParagraph"/>
        <w:numPr>
          <w:ilvl w:val="0"/>
          <w:numId w:val="2"/>
        </w:numPr>
        <w:spacing w:after="60" w:line="260"/>
      </w:pPr>
      <w:r>
        <w:rPr>
          <w:rFonts w:ascii="Calibri" w:cs="Calibri" w:eastAsia="Calibri" w:hAnsi="Calibri"/>
          <w:sz w:val="20"/>
          <w:szCs w:val="20"/>
        </w:rPr>
        <w:t xml:space="preserve">Activation du Conseil de surveillance ad hoc (cohérence Pacte associés Seed).</w:t>
      </w:r>
    </w:p>
    <w:p>
      <w:pPr>
        <w:pStyle w:val="ListParagraph"/>
        <w:numPr>
          <w:ilvl w:val="0"/>
          <w:numId w:val="2"/>
        </w:numPr>
        <w:spacing w:after="60" w:line="260"/>
      </w:pPr>
      <w:r>
        <w:rPr>
          <w:rFonts w:ascii="Calibri" w:cs="Calibri" w:eastAsia="Calibri" w:hAnsi="Calibri"/>
          <w:sz w:val="20"/>
          <w:szCs w:val="20"/>
        </w:rPr>
        <w:t xml:space="preserve">Désignation d'un Directeur Général par intérim.</w:t>
      </w:r>
    </w:p>
    <w:p>
      <w:pPr>
        <w:pStyle w:val="ListParagraph"/>
        <w:numPr>
          <w:ilvl w:val="0"/>
          <w:numId w:val="2"/>
        </w:numPr>
        <w:spacing w:after="60" w:line="260"/>
      </w:pPr>
      <w:r>
        <w:rPr>
          <w:rFonts w:ascii="Calibri" w:cs="Calibri" w:eastAsia="Calibri" w:hAnsi="Calibri"/>
          <w:sz w:val="20"/>
          <w:szCs w:val="20"/>
        </w:rPr>
        <w:t xml:space="preserve">Communication transparente aux parties prenantes.</w:t>
      </w:r>
    </w:p>
    <w:p>
      <w:pPr>
        <w:spacing w:after="100" w:before="220"/>
      </w:pPr>
      <w:r>
        <w:rPr>
          <w:rFonts w:ascii="Calibri" w:cs="Calibri" w:eastAsia="Calibri" w:hAnsi="Calibri"/>
          <w:b/>
          <w:bCs/>
          <w:color w:val="E87722"/>
          <w:sz w:val="22"/>
          <w:szCs w:val="22"/>
        </w:rPr>
        <w:t xml:space="preserve">2.4. Niveau 4 — Disparition / décès</w:t>
      </w:r>
    </w:p>
    <w:p>
      <w:pPr>
        <w:pStyle w:val="ListParagraph"/>
        <w:numPr>
          <w:ilvl w:val="0"/>
          <w:numId w:val="2"/>
        </w:numPr>
        <w:spacing w:after="60" w:line="260"/>
      </w:pPr>
      <w:r>
        <w:rPr>
          <w:rFonts w:ascii="Calibri" w:cs="Calibri" w:eastAsia="Calibri" w:hAnsi="Calibri"/>
          <w:sz w:val="20"/>
          <w:szCs w:val="20"/>
        </w:rPr>
        <w:t xml:space="preserve">Activation immédiate du dispositif de succession.</w:t>
      </w:r>
    </w:p>
    <w:p>
      <w:pPr>
        <w:pStyle w:val="ListParagraph"/>
        <w:numPr>
          <w:ilvl w:val="0"/>
          <w:numId w:val="2"/>
        </w:numPr>
        <w:spacing w:after="60" w:line="260"/>
      </w:pPr>
      <w:r>
        <w:rPr>
          <w:rFonts w:ascii="Calibri" w:cs="Calibri" w:eastAsia="Calibri" w:hAnsi="Calibri"/>
          <w:sz w:val="20"/>
          <w:szCs w:val="20"/>
        </w:rPr>
        <w:t xml:space="preserve">Convocation Assemblée générale extraordinaire.</w:t>
      </w:r>
    </w:p>
    <w:p>
      <w:pPr>
        <w:pStyle w:val="ListParagraph"/>
        <w:numPr>
          <w:ilvl w:val="0"/>
          <w:numId w:val="2"/>
        </w:numPr>
        <w:spacing w:after="60" w:line="260"/>
      </w:pPr>
      <w:r>
        <w:rPr>
          <w:rFonts w:ascii="Calibri" w:cs="Calibri" w:eastAsia="Calibri" w:hAnsi="Calibri"/>
          <w:sz w:val="20"/>
          <w:szCs w:val="20"/>
        </w:rPr>
        <w:t xml:space="preserve">Désignation nouveau Président (modalités prévues par les statuts).</w:t>
      </w:r>
    </w:p>
    <w:p>
      <w:pPr>
        <w:pStyle w:val="ListParagraph"/>
        <w:numPr>
          <w:ilvl w:val="0"/>
          <w:numId w:val="2"/>
        </w:numPr>
        <w:spacing w:after="60" w:line="260"/>
      </w:pPr>
      <w:r>
        <w:rPr>
          <w:rFonts w:ascii="Calibri" w:cs="Calibri" w:eastAsia="Calibri" w:hAnsi="Calibri"/>
          <w:sz w:val="20"/>
          <w:szCs w:val="20"/>
        </w:rPr>
        <w:t xml:space="preserve">Coordination avec la famille du dirigeant (cohérence émotionnelle).</w:t>
      </w:r>
    </w:p>
    <w:p>
      <w:pPr>
        <w:spacing w:after="160" w:before="240"/>
      </w:pPr>
      <w:r>
        <w:rPr>
          <w:rFonts w:ascii="Calibri" w:cs="Calibri" w:eastAsia="Calibri" w:hAnsi="Calibri"/>
          <w:b/>
          <w:bCs/>
          <w:color w:val="1F4E79"/>
          <w:sz w:val="32"/>
          <w:szCs w:val="32"/>
        </w:rPr>
        <w:t xml:space="preserve">3. Architecture de la continuité</w:t>
      </w:r>
    </w:p>
    <w:p>
      <w:pPr>
        <w:spacing w:after="100" w:before="220"/>
      </w:pPr>
      <w:r>
        <w:rPr>
          <w:rFonts w:ascii="Calibri" w:cs="Calibri" w:eastAsia="Calibri" w:hAnsi="Calibri"/>
          <w:b/>
          <w:bCs/>
          <w:color w:val="E87722"/>
          <w:sz w:val="22"/>
          <w:szCs w:val="22"/>
        </w:rPr>
        <w:t xml:space="preserve">3.1. Délégation pour décisions courantes</w:t>
      </w:r>
    </w:p>
    <w:p>
      <w:pPr>
        <w:pStyle w:val="ListParagraph"/>
        <w:numPr>
          <w:ilvl w:val="0"/>
          <w:numId w:val="2"/>
        </w:numPr>
        <w:spacing w:after="60" w:line="260"/>
      </w:pPr>
      <w:r>
        <w:rPr>
          <w:rFonts w:ascii="Calibri" w:cs="Calibri" w:eastAsia="Calibri" w:hAnsi="Calibri"/>
          <w:sz w:val="20"/>
          <w:szCs w:val="20"/>
        </w:rPr>
        <w:t xml:space="preserve">Désignation d'un référent intérim au sein de l'équipe (à formaliser dès An 1).</w:t>
      </w:r>
    </w:p>
    <w:p>
      <w:pPr>
        <w:pStyle w:val="ListParagraph"/>
        <w:numPr>
          <w:ilvl w:val="0"/>
          <w:numId w:val="2"/>
        </w:numPr>
        <w:spacing w:after="60" w:line="260"/>
      </w:pPr>
      <w:r>
        <w:rPr>
          <w:rFonts w:ascii="Calibri" w:cs="Calibri" w:eastAsia="Calibri" w:hAnsi="Calibri"/>
          <w:sz w:val="20"/>
          <w:szCs w:val="20"/>
        </w:rPr>
        <w:t xml:space="preserve">Profil cible : salarié senior, ancienneté ≥ 12 mois, compréhension globale Eventy.</w:t>
      </w:r>
    </w:p>
    <w:p>
      <w:pPr>
        <w:pStyle w:val="ListParagraph"/>
        <w:numPr>
          <w:ilvl w:val="0"/>
          <w:numId w:val="2"/>
        </w:numPr>
        <w:spacing w:after="60" w:line="260"/>
      </w:pPr>
      <w:r>
        <w:rPr>
          <w:rFonts w:ascii="Calibri" w:cs="Calibri" w:eastAsia="Calibri" w:hAnsi="Calibri"/>
          <w:sz w:val="20"/>
          <w:szCs w:val="20"/>
        </w:rPr>
        <w:t xml:space="preserve">Périmètre : décisions opérationnelles courantes (réservations, partenaires, équipe).</w:t>
      </w:r>
    </w:p>
    <w:p>
      <w:pPr>
        <w:pStyle w:val="ListParagraph"/>
        <w:numPr>
          <w:ilvl w:val="0"/>
          <w:numId w:val="2"/>
        </w:numPr>
        <w:spacing w:after="60" w:line="260"/>
      </w:pPr>
      <w:r>
        <w:rPr>
          <w:rFonts w:ascii="Calibri" w:cs="Calibri" w:eastAsia="Calibri" w:hAnsi="Calibri"/>
          <w:sz w:val="20"/>
          <w:szCs w:val="20"/>
        </w:rPr>
        <w:t xml:space="preserve">Limites : pas de décisions stratégiques (catalogue, partenariats majeurs, finance &gt; 10 K€).</w:t>
      </w:r>
    </w:p>
    <w:p>
      <w:pPr>
        <w:spacing w:after="100" w:before="220"/>
      </w:pPr>
      <w:r>
        <w:rPr>
          <w:rFonts w:ascii="Calibri" w:cs="Calibri" w:eastAsia="Calibri" w:hAnsi="Calibri"/>
          <w:b/>
          <w:bCs/>
          <w:color w:val="E87722"/>
          <w:sz w:val="22"/>
          <w:szCs w:val="22"/>
        </w:rPr>
        <w:t xml:space="preserve">3.2. Conseil de surveillance ad hoc (Niveaux 3-4)</w:t>
      </w:r>
    </w:p>
    <w:p>
      <w:pPr>
        <w:pStyle w:val="ListParagraph"/>
        <w:numPr>
          <w:ilvl w:val="0"/>
          <w:numId w:val="2"/>
        </w:numPr>
        <w:spacing w:after="60" w:line="260"/>
      </w:pPr>
      <w:r>
        <w:rPr>
          <w:rFonts w:ascii="Calibri" w:cs="Calibri" w:eastAsia="Calibri" w:hAnsi="Calibri"/>
          <w:sz w:val="20"/>
          <w:szCs w:val="20"/>
        </w:rPr>
        <w:t xml:space="preserve">Composition prévue dans le Pacte associés Seed : 1-3 personnes.</w:t>
      </w:r>
    </w:p>
    <w:p>
      <w:pPr>
        <w:pStyle w:val="ListParagraph"/>
        <w:numPr>
          <w:ilvl w:val="0"/>
          <w:numId w:val="2"/>
        </w:numPr>
        <w:spacing w:after="60" w:line="260"/>
      </w:pPr>
      <w:r>
        <w:rPr>
          <w:rFonts w:ascii="Calibri" w:cs="Calibri" w:eastAsia="Calibri" w:hAnsi="Calibri"/>
          <w:sz w:val="20"/>
          <w:szCs w:val="20"/>
        </w:rPr>
        <w:t xml:space="preserve">Activation par décision des associés (50 % des voix).</w:t>
      </w:r>
    </w:p>
    <w:p>
      <w:pPr>
        <w:pStyle w:val="ListParagraph"/>
        <w:numPr>
          <w:ilvl w:val="0"/>
          <w:numId w:val="2"/>
        </w:numPr>
        <w:spacing w:after="60" w:line="260"/>
      </w:pPr>
      <w:r>
        <w:rPr>
          <w:rFonts w:ascii="Calibri" w:cs="Calibri" w:eastAsia="Calibri" w:hAnsi="Calibri"/>
          <w:sz w:val="20"/>
          <w:szCs w:val="20"/>
        </w:rPr>
        <w:t xml:space="preserve">Mission : superviser la gestion intérimaire.</w:t>
      </w:r>
    </w:p>
    <w:p>
      <w:pPr>
        <w:pStyle w:val="ListParagraph"/>
        <w:numPr>
          <w:ilvl w:val="0"/>
          <w:numId w:val="2"/>
        </w:numPr>
        <w:spacing w:after="60" w:line="260"/>
      </w:pPr>
      <w:r>
        <w:rPr>
          <w:rFonts w:ascii="Calibri" w:cs="Calibri" w:eastAsia="Calibri" w:hAnsi="Calibri"/>
          <w:sz w:val="20"/>
          <w:szCs w:val="20"/>
        </w:rPr>
        <w:t xml:space="preserve">Désignation du Directeur Général par intérim.</w:t>
      </w:r>
    </w:p>
    <w:p>
      <w:pPr>
        <w:spacing w:after="100" w:before="220"/>
      </w:pPr>
      <w:r>
        <w:rPr>
          <w:rFonts w:ascii="Calibri" w:cs="Calibri" w:eastAsia="Calibri" w:hAnsi="Calibri"/>
          <w:b/>
          <w:bCs/>
          <w:color w:val="E87722"/>
          <w:sz w:val="22"/>
          <w:szCs w:val="22"/>
        </w:rPr>
        <w:t xml:space="preserve">3.3. Direction Générale par intérim (Niveau 3-4)</w:t>
      </w:r>
    </w:p>
    <w:p>
      <w:pPr>
        <w:pStyle w:val="ListParagraph"/>
        <w:numPr>
          <w:ilvl w:val="0"/>
          <w:numId w:val="2"/>
        </w:numPr>
        <w:spacing w:after="60" w:line="260"/>
      </w:pPr>
      <w:r>
        <w:rPr>
          <w:rFonts w:ascii="Calibri" w:cs="Calibri" w:eastAsia="Calibri" w:hAnsi="Calibri"/>
          <w:sz w:val="20"/>
          <w:szCs w:val="20"/>
        </w:rPr>
        <w:t xml:space="preserve">Désignation par le Conseil de surveillance ad hoc ou les associés.</w:t>
      </w:r>
    </w:p>
    <w:p>
      <w:pPr>
        <w:pStyle w:val="ListParagraph"/>
        <w:numPr>
          <w:ilvl w:val="0"/>
          <w:numId w:val="2"/>
        </w:numPr>
        <w:spacing w:after="60" w:line="260"/>
      </w:pPr>
      <w:r>
        <w:rPr>
          <w:rFonts w:ascii="Calibri" w:cs="Calibri" w:eastAsia="Calibri" w:hAnsi="Calibri"/>
          <w:sz w:val="20"/>
          <w:szCs w:val="20"/>
        </w:rPr>
        <w:t xml:space="preserve">Profil cible : externe ou interne avec maturité de gestion.</w:t>
      </w:r>
    </w:p>
    <w:p>
      <w:pPr>
        <w:pStyle w:val="ListParagraph"/>
        <w:numPr>
          <w:ilvl w:val="0"/>
          <w:numId w:val="2"/>
        </w:numPr>
        <w:spacing w:after="60" w:line="260"/>
      </w:pPr>
      <w:r>
        <w:rPr>
          <w:rFonts w:ascii="Calibri" w:cs="Calibri" w:eastAsia="Calibri" w:hAnsi="Calibri"/>
          <w:sz w:val="20"/>
          <w:szCs w:val="20"/>
        </w:rPr>
        <w:t xml:space="preserve">Mandat : 6-12 mois maximum, renouvelable une fois.</w:t>
      </w:r>
    </w:p>
    <w:p>
      <w:pPr>
        <w:pStyle w:val="ListParagraph"/>
        <w:numPr>
          <w:ilvl w:val="0"/>
          <w:numId w:val="2"/>
        </w:numPr>
        <w:spacing w:after="60" w:line="260"/>
      </w:pPr>
      <w:r>
        <w:rPr>
          <w:rFonts w:ascii="Calibri" w:cs="Calibri" w:eastAsia="Calibri" w:hAnsi="Calibri"/>
          <w:sz w:val="20"/>
          <w:szCs w:val="20"/>
        </w:rPr>
        <w:t xml:space="preserve">Pouvoirs : tous les pouvoirs nécessaires à la gestion courante et stratégique.</w:t>
      </w:r>
    </w:p>
    <w:p>
      <w:pPr>
        <w:pStyle w:val="ListParagraph"/>
        <w:numPr>
          <w:ilvl w:val="0"/>
          <w:numId w:val="2"/>
        </w:numPr>
        <w:spacing w:after="60" w:line="260"/>
      </w:pPr>
      <w:r>
        <w:rPr>
          <w:rFonts w:ascii="Calibri" w:cs="Calibri" w:eastAsia="Calibri" w:hAnsi="Calibri"/>
          <w:sz w:val="20"/>
          <w:szCs w:val="20"/>
        </w:rPr>
        <w:t xml:space="preserve">Limites : pas de cession de la société, pas de modification des statuts (sauf accord associés).</w:t>
      </w:r>
    </w:p>
    <w:p>
      <w:pPr>
        <w:spacing w:after="160" w:before="240"/>
      </w:pPr>
      <w:r>
        <w:rPr>
          <w:rFonts w:ascii="Calibri" w:cs="Calibri" w:eastAsia="Calibri" w:hAnsi="Calibri"/>
          <w:b/>
          <w:bCs/>
          <w:color w:val="1F4E79"/>
          <w:sz w:val="32"/>
          <w:szCs w:val="32"/>
        </w:rPr>
        <w:t xml:space="preserve">4. Documentation indispensable</w:t>
      </w:r>
    </w:p>
    <w:p>
      <w:pPr>
        <w:spacing w:after="100" w:before="220"/>
      </w:pPr>
      <w:r>
        <w:rPr>
          <w:rFonts w:ascii="Calibri" w:cs="Calibri" w:eastAsia="Calibri" w:hAnsi="Calibri"/>
          <w:b/>
          <w:bCs/>
          <w:color w:val="E87722"/>
          <w:sz w:val="22"/>
          <w:szCs w:val="22"/>
        </w:rPr>
        <w:t xml:space="preserve">4.1. Connaissance critique à documenter</w:t>
      </w:r>
    </w:p>
    <w:p>
      <w:pPr>
        <w:pStyle w:val="ListParagraph"/>
        <w:numPr>
          <w:ilvl w:val="0"/>
          <w:numId w:val="2"/>
        </w:numPr>
        <w:spacing w:after="60" w:line="260"/>
      </w:pPr>
      <w:r>
        <w:rPr>
          <w:rFonts w:ascii="Calibri" w:cs="Calibri" w:eastAsia="Calibri" w:hAnsi="Calibri"/>
          <w:sz w:val="20"/>
          <w:szCs w:val="20"/>
        </w:rPr>
        <w:t xml:space="preserve">Architecture technique de la plateforme (cohérence Roadmap technique).</w:t>
      </w:r>
    </w:p>
    <w:p>
      <w:pPr>
        <w:pStyle w:val="ListParagraph"/>
        <w:numPr>
          <w:ilvl w:val="0"/>
          <w:numId w:val="2"/>
        </w:numPr>
        <w:spacing w:after="60" w:line="260"/>
      </w:pPr>
      <w:r>
        <w:rPr>
          <w:rFonts w:ascii="Calibri" w:cs="Calibri" w:eastAsia="Calibri" w:hAnsi="Calibri"/>
          <w:sz w:val="20"/>
          <w:szCs w:val="20"/>
        </w:rPr>
        <w:t xml:space="preserve">Identifiants critiques (registres centralisés sécurisés).</w:t>
      </w:r>
    </w:p>
    <w:p>
      <w:pPr>
        <w:pStyle w:val="ListParagraph"/>
        <w:numPr>
          <w:ilvl w:val="0"/>
          <w:numId w:val="2"/>
        </w:numPr>
        <w:spacing w:after="60" w:line="260"/>
      </w:pPr>
      <w:r>
        <w:rPr>
          <w:rFonts w:ascii="Calibri" w:cs="Calibri" w:eastAsia="Calibri" w:hAnsi="Calibri"/>
          <w:sz w:val="20"/>
          <w:szCs w:val="20"/>
        </w:rPr>
        <w:t xml:space="preserve">Contrats stratégiques (HRA, transporteurs, banque, assurance).</w:t>
      </w:r>
    </w:p>
    <w:p>
      <w:pPr>
        <w:pStyle w:val="ListParagraph"/>
        <w:numPr>
          <w:ilvl w:val="0"/>
          <w:numId w:val="2"/>
        </w:numPr>
        <w:spacing w:after="60" w:line="260"/>
      </w:pPr>
      <w:r>
        <w:rPr>
          <w:rFonts w:ascii="Calibri" w:cs="Calibri" w:eastAsia="Calibri" w:hAnsi="Calibri"/>
          <w:sz w:val="20"/>
          <w:szCs w:val="20"/>
        </w:rPr>
        <w:t xml:space="preserve">Réseau de partenaires clés (cohérence Plan de partenariats institutionnels).</w:t>
      </w:r>
    </w:p>
    <w:p>
      <w:pPr>
        <w:pStyle w:val="ListParagraph"/>
        <w:numPr>
          <w:ilvl w:val="0"/>
          <w:numId w:val="2"/>
        </w:numPr>
        <w:spacing w:after="60" w:line="260"/>
      </w:pPr>
      <w:r>
        <w:rPr>
          <w:rFonts w:ascii="Calibri" w:cs="Calibri" w:eastAsia="Calibri" w:hAnsi="Calibri"/>
          <w:sz w:val="20"/>
          <w:szCs w:val="20"/>
        </w:rPr>
        <w:t xml:space="preserve">Vision stratégique 5 ans (cohérence Roadmap technique + Plan d'expansion internationale).</w:t>
      </w:r>
    </w:p>
    <w:p>
      <w:pPr>
        <w:pStyle w:val="ListParagraph"/>
        <w:numPr>
          <w:ilvl w:val="0"/>
          <w:numId w:val="2"/>
        </w:numPr>
        <w:spacing w:after="60" w:line="260"/>
      </w:pPr>
      <w:r>
        <w:rPr>
          <w:rFonts w:ascii="Calibri" w:cs="Calibri" w:eastAsia="Calibri" w:hAnsi="Calibri"/>
          <w:sz w:val="20"/>
          <w:szCs w:val="20"/>
        </w:rPr>
        <w:t xml:space="preserve">Procédures opérationnelles (cohérence Manuel des opérations quotidiennes).</w:t>
      </w:r>
    </w:p>
    <w:p>
      <w:pPr>
        <w:spacing w:after="100" w:before="220"/>
      </w:pPr>
      <w:r>
        <w:rPr>
          <w:rFonts w:ascii="Calibri" w:cs="Calibri" w:eastAsia="Calibri" w:hAnsi="Calibri"/>
          <w:b/>
          <w:bCs/>
          <w:color w:val="E87722"/>
          <w:sz w:val="22"/>
          <w:szCs w:val="22"/>
        </w:rPr>
        <w:t xml:space="preserve">4.2. Coffre-fort numérique sécurisé</w:t>
      </w:r>
    </w:p>
    <w:p>
      <w:pPr>
        <w:pStyle w:val="ListParagraph"/>
        <w:numPr>
          <w:ilvl w:val="0"/>
          <w:numId w:val="2"/>
        </w:numPr>
        <w:spacing w:after="60" w:line="260"/>
      </w:pPr>
      <w:r>
        <w:rPr>
          <w:rFonts w:ascii="Calibri" w:cs="Calibri" w:eastAsia="Calibri" w:hAnsi="Calibri"/>
          <w:sz w:val="20"/>
          <w:szCs w:val="20"/>
        </w:rPr>
        <w:t xml:space="preserve">Identifiants des outils critiques (Stripe, Scaleway, Google Workspace, etc.).</w:t>
      </w:r>
    </w:p>
    <w:p>
      <w:pPr>
        <w:pStyle w:val="ListParagraph"/>
        <w:numPr>
          <w:ilvl w:val="0"/>
          <w:numId w:val="2"/>
        </w:numPr>
        <w:spacing w:after="60" w:line="260"/>
      </w:pPr>
      <w:r>
        <w:rPr>
          <w:rFonts w:ascii="Calibri" w:cs="Calibri" w:eastAsia="Calibri" w:hAnsi="Calibri"/>
          <w:sz w:val="20"/>
          <w:szCs w:val="20"/>
        </w:rPr>
        <w:t xml:space="preserve">Accès chiffré, à 2 personnes minimum (Président + 1 référent).</w:t>
      </w:r>
    </w:p>
    <w:p>
      <w:pPr>
        <w:pStyle w:val="ListParagraph"/>
        <w:numPr>
          <w:ilvl w:val="0"/>
          <w:numId w:val="2"/>
        </w:numPr>
        <w:spacing w:after="60" w:line="260"/>
      </w:pPr>
      <w:r>
        <w:rPr>
          <w:rFonts w:ascii="Calibri" w:cs="Calibri" w:eastAsia="Calibri" w:hAnsi="Calibri"/>
          <w:sz w:val="20"/>
          <w:szCs w:val="20"/>
        </w:rPr>
        <w:t xml:space="preserve">Mise à jour mensuelle.</w:t>
      </w:r>
    </w:p>
    <w:p>
      <w:pPr>
        <w:pStyle w:val="ListParagraph"/>
        <w:numPr>
          <w:ilvl w:val="0"/>
          <w:numId w:val="2"/>
        </w:numPr>
        <w:spacing w:after="60" w:line="260"/>
      </w:pPr>
      <w:r>
        <w:rPr>
          <w:rFonts w:ascii="Calibri" w:cs="Calibri" w:eastAsia="Calibri" w:hAnsi="Calibri"/>
          <w:sz w:val="20"/>
          <w:szCs w:val="20"/>
        </w:rPr>
        <w:t xml:space="preserve">Cohérence avec Politique cybersécurité.</w:t>
      </w:r>
    </w:p>
    <w:p>
      <w:pPr>
        <w:pStyle w:val="ListParagraph"/>
        <w:numPr>
          <w:ilvl w:val="0"/>
          <w:numId w:val="2"/>
        </w:numPr>
        <w:spacing w:after="60" w:line="260"/>
      </w:pPr>
      <w:r>
        <w:rPr>
          <w:rFonts w:ascii="Calibri" w:cs="Calibri" w:eastAsia="Calibri" w:hAnsi="Calibri"/>
          <w:sz w:val="20"/>
          <w:szCs w:val="20"/>
        </w:rPr>
        <w:t xml:space="preserve">Procédure d'urgence pour activation en cas d'indisponibilité.</w:t>
      </w:r>
    </w:p>
    <w:p>
      <w:pPr>
        <w:spacing w:after="100" w:before="220"/>
      </w:pPr>
      <w:r>
        <w:rPr>
          <w:rFonts w:ascii="Calibri" w:cs="Calibri" w:eastAsia="Calibri" w:hAnsi="Calibri"/>
          <w:b/>
          <w:bCs/>
          <w:color w:val="E87722"/>
          <w:sz w:val="22"/>
          <w:szCs w:val="22"/>
        </w:rPr>
        <w:t xml:space="preserve">4.3. Carnet de bord du dirigeant</w:t>
      </w:r>
    </w:p>
    <w:p>
      <w:pPr>
        <w:pStyle w:val="ListParagraph"/>
        <w:numPr>
          <w:ilvl w:val="0"/>
          <w:numId w:val="2"/>
        </w:numPr>
        <w:spacing w:after="60" w:line="260"/>
      </w:pPr>
      <w:r>
        <w:rPr>
          <w:rFonts w:ascii="Calibri" w:cs="Calibri" w:eastAsia="Calibri" w:hAnsi="Calibri"/>
          <w:sz w:val="20"/>
          <w:szCs w:val="20"/>
        </w:rPr>
        <w:t xml:space="preserve">Document tenu à jour par le Président.</w:t>
      </w:r>
    </w:p>
    <w:p>
      <w:pPr>
        <w:pStyle w:val="ListParagraph"/>
        <w:numPr>
          <w:ilvl w:val="0"/>
          <w:numId w:val="2"/>
        </w:numPr>
        <w:spacing w:after="60" w:line="260"/>
      </w:pPr>
      <w:r>
        <w:rPr>
          <w:rFonts w:ascii="Calibri" w:cs="Calibri" w:eastAsia="Calibri" w:hAnsi="Calibri"/>
          <w:sz w:val="20"/>
          <w:szCs w:val="20"/>
        </w:rPr>
        <w:t xml:space="preserve">Décisions stratégiques en cours.</w:t>
      </w:r>
    </w:p>
    <w:p>
      <w:pPr>
        <w:pStyle w:val="ListParagraph"/>
        <w:numPr>
          <w:ilvl w:val="0"/>
          <w:numId w:val="2"/>
        </w:numPr>
        <w:spacing w:after="60" w:line="260"/>
      </w:pPr>
      <w:r>
        <w:rPr>
          <w:rFonts w:ascii="Calibri" w:cs="Calibri" w:eastAsia="Calibri" w:hAnsi="Calibri"/>
          <w:sz w:val="20"/>
          <w:szCs w:val="20"/>
        </w:rPr>
        <w:t xml:space="preserve">Engagements pris (oraux et écrits).</w:t>
      </w:r>
    </w:p>
    <w:p>
      <w:pPr>
        <w:pStyle w:val="ListParagraph"/>
        <w:numPr>
          <w:ilvl w:val="0"/>
          <w:numId w:val="2"/>
        </w:numPr>
        <w:spacing w:after="60" w:line="260"/>
      </w:pPr>
      <w:r>
        <w:rPr>
          <w:rFonts w:ascii="Calibri" w:cs="Calibri" w:eastAsia="Calibri" w:hAnsi="Calibri"/>
          <w:sz w:val="20"/>
          <w:szCs w:val="20"/>
        </w:rPr>
        <w:t xml:space="preserve">Réflexions et orientations.</w:t>
      </w:r>
    </w:p>
    <w:p>
      <w:pPr>
        <w:pStyle w:val="ListParagraph"/>
        <w:numPr>
          <w:ilvl w:val="0"/>
          <w:numId w:val="2"/>
        </w:numPr>
        <w:spacing w:after="60" w:line="260"/>
      </w:pPr>
      <w:r>
        <w:rPr>
          <w:rFonts w:ascii="Calibri" w:cs="Calibri" w:eastAsia="Calibri" w:hAnsi="Calibri"/>
          <w:sz w:val="20"/>
          <w:szCs w:val="20"/>
        </w:rPr>
        <w:t xml:space="preserve">Confidentiel mais accessible au Conseil de surveillance ad hoc en cas de besoin.</w:t>
      </w:r>
    </w:p>
    <w:p>
      <w:pPr>
        <w:spacing w:after="160" w:before="240"/>
      </w:pPr>
      <w:r>
        <w:rPr>
          <w:rFonts w:ascii="Calibri" w:cs="Calibri" w:eastAsia="Calibri" w:hAnsi="Calibri"/>
          <w:b/>
          <w:bCs/>
          <w:color w:val="1F4E79"/>
          <w:sz w:val="32"/>
          <w:szCs w:val="32"/>
        </w:rPr>
        <w:t xml:space="preserve">5. Préparation préventive</w:t>
      </w:r>
    </w:p>
    <w:p>
      <w:pPr>
        <w:spacing w:after="100" w:before="220"/>
      </w:pPr>
      <w:r>
        <w:rPr>
          <w:rFonts w:ascii="Calibri" w:cs="Calibri" w:eastAsia="Calibri" w:hAnsi="Calibri"/>
          <w:b/>
          <w:bCs/>
          <w:color w:val="E87722"/>
          <w:sz w:val="22"/>
          <w:szCs w:val="22"/>
        </w:rPr>
        <w:t xml:space="preserve">5.1. Formations spécifiques</w:t>
      </w:r>
    </w:p>
    <w:p>
      <w:pPr>
        <w:pStyle w:val="ListParagraph"/>
        <w:numPr>
          <w:ilvl w:val="0"/>
          <w:numId w:val="2"/>
        </w:numPr>
        <w:spacing w:after="60" w:line="260"/>
      </w:pPr>
      <w:r>
        <w:rPr>
          <w:rFonts w:ascii="Calibri" w:cs="Calibri" w:eastAsia="Calibri" w:hAnsi="Calibri"/>
          <w:sz w:val="20"/>
          <w:szCs w:val="20"/>
        </w:rPr>
        <w:t xml:space="preserve">Formation continue de 1-2 collaborateurs senior à la gestion globale Eventy.</w:t>
      </w:r>
    </w:p>
    <w:p>
      <w:pPr>
        <w:pStyle w:val="ListParagraph"/>
        <w:numPr>
          <w:ilvl w:val="0"/>
          <w:numId w:val="2"/>
        </w:numPr>
        <w:spacing w:after="60" w:line="260"/>
      </w:pPr>
      <w:r>
        <w:rPr>
          <w:rFonts w:ascii="Calibri" w:cs="Calibri" w:eastAsia="Calibri" w:hAnsi="Calibri"/>
          <w:sz w:val="20"/>
          <w:szCs w:val="20"/>
        </w:rPr>
        <w:t xml:space="preserve">Modules dédiés : finance, juridique, opérationnel, stratégie.</w:t>
      </w:r>
    </w:p>
    <w:p>
      <w:pPr>
        <w:pStyle w:val="ListParagraph"/>
        <w:numPr>
          <w:ilvl w:val="0"/>
          <w:numId w:val="2"/>
        </w:numPr>
        <w:spacing w:after="60" w:line="260"/>
      </w:pPr>
      <w:r>
        <w:rPr>
          <w:rFonts w:ascii="Calibri" w:cs="Calibri" w:eastAsia="Calibri" w:hAnsi="Calibri"/>
          <w:sz w:val="20"/>
          <w:szCs w:val="20"/>
        </w:rPr>
        <w:t xml:space="preserve">Possibilité de simulation d'indisponibilité courte (1-2 j sans Président).</w:t>
      </w:r>
    </w:p>
    <w:p>
      <w:pPr>
        <w:spacing w:after="100" w:before="220"/>
      </w:pPr>
      <w:r>
        <w:rPr>
          <w:rFonts w:ascii="Calibri" w:cs="Calibri" w:eastAsia="Calibri" w:hAnsi="Calibri"/>
          <w:b/>
          <w:bCs/>
          <w:color w:val="E87722"/>
          <w:sz w:val="22"/>
          <w:szCs w:val="22"/>
        </w:rPr>
        <w:t xml:space="preserve">5.2. Communication des informations critiques</w:t>
      </w:r>
    </w:p>
    <w:p>
      <w:pPr>
        <w:pStyle w:val="ListParagraph"/>
        <w:numPr>
          <w:ilvl w:val="0"/>
          <w:numId w:val="2"/>
        </w:numPr>
        <w:spacing w:after="60" w:line="260"/>
      </w:pPr>
      <w:r>
        <w:rPr>
          <w:rFonts w:ascii="Calibri" w:cs="Calibri" w:eastAsia="Calibri" w:hAnsi="Calibri"/>
          <w:sz w:val="20"/>
          <w:szCs w:val="20"/>
        </w:rPr>
        <w:t xml:space="preserve">Réunion mensuelle de l'équipe avec partage transversal (cohérence Mardi de l'équipe).</w:t>
      </w:r>
    </w:p>
    <w:p>
      <w:pPr>
        <w:pStyle w:val="ListParagraph"/>
        <w:numPr>
          <w:ilvl w:val="0"/>
          <w:numId w:val="2"/>
        </w:numPr>
        <w:spacing w:after="60" w:line="260"/>
      </w:pPr>
      <w:r>
        <w:rPr>
          <w:rFonts w:ascii="Calibri" w:cs="Calibri" w:eastAsia="Calibri" w:hAnsi="Calibri"/>
          <w:sz w:val="20"/>
          <w:szCs w:val="20"/>
        </w:rPr>
        <w:t xml:space="preserve">Documentation systématique des décisions et discussions.</w:t>
      </w:r>
    </w:p>
    <w:p>
      <w:pPr>
        <w:pStyle w:val="ListParagraph"/>
        <w:numPr>
          <w:ilvl w:val="0"/>
          <w:numId w:val="2"/>
        </w:numPr>
        <w:spacing w:after="60" w:line="260"/>
      </w:pPr>
      <w:r>
        <w:rPr>
          <w:rFonts w:ascii="Calibri" w:cs="Calibri" w:eastAsia="Calibri" w:hAnsi="Calibri"/>
          <w:sz w:val="20"/>
          <w:szCs w:val="20"/>
        </w:rPr>
        <w:t xml:space="preserve">Refus de la concentration excessive d'informations sur le dirigeant.</w:t>
      </w:r>
    </w:p>
    <w:p>
      <w:pPr>
        <w:spacing w:after="100" w:before="220"/>
      </w:pPr>
      <w:r>
        <w:rPr>
          <w:rFonts w:ascii="Calibri" w:cs="Calibri" w:eastAsia="Calibri" w:hAnsi="Calibri"/>
          <w:b/>
          <w:bCs/>
          <w:color w:val="E87722"/>
          <w:sz w:val="22"/>
          <w:szCs w:val="22"/>
        </w:rPr>
        <w:t xml:space="preserve">5.3. Réseau externe</w:t>
      </w:r>
    </w:p>
    <w:p>
      <w:pPr>
        <w:pStyle w:val="ListParagraph"/>
        <w:numPr>
          <w:ilvl w:val="0"/>
          <w:numId w:val="2"/>
        </w:numPr>
        <w:spacing w:after="60" w:line="260"/>
      </w:pPr>
      <w:r>
        <w:rPr>
          <w:rFonts w:ascii="Calibri" w:cs="Calibri" w:eastAsia="Calibri" w:hAnsi="Calibri"/>
          <w:sz w:val="20"/>
          <w:szCs w:val="20"/>
        </w:rPr>
        <w:t xml:space="preserve">Relation maintenue avec avocat tourisme (cohérence Note avocat tourisme).</w:t>
      </w:r>
    </w:p>
    <w:p>
      <w:pPr>
        <w:pStyle w:val="ListParagraph"/>
        <w:numPr>
          <w:ilvl w:val="0"/>
          <w:numId w:val="2"/>
        </w:numPr>
        <w:spacing w:after="60" w:line="260"/>
      </w:pPr>
      <w:r>
        <w:rPr>
          <w:rFonts w:ascii="Calibri" w:cs="Calibri" w:eastAsia="Calibri" w:hAnsi="Calibri"/>
          <w:sz w:val="20"/>
          <w:szCs w:val="20"/>
        </w:rPr>
        <w:t xml:space="preserve">Relation maintenue avec expert-comptable (cohérence Note expert-comptable).</w:t>
      </w:r>
    </w:p>
    <w:p>
      <w:pPr>
        <w:pStyle w:val="ListParagraph"/>
        <w:numPr>
          <w:ilvl w:val="0"/>
          <w:numId w:val="2"/>
        </w:numPr>
        <w:spacing w:after="60" w:line="260"/>
      </w:pPr>
      <w:r>
        <w:rPr>
          <w:rFonts w:ascii="Calibri" w:cs="Calibri" w:eastAsia="Calibri" w:hAnsi="Calibri"/>
          <w:sz w:val="20"/>
          <w:szCs w:val="20"/>
        </w:rPr>
        <w:t xml:space="preserve">Relation avec banque domiciliataire (cohérence Document banque domiciliataire).</w:t>
      </w:r>
    </w:p>
    <w:p>
      <w:pPr>
        <w:pStyle w:val="ListParagraph"/>
        <w:numPr>
          <w:ilvl w:val="0"/>
          <w:numId w:val="2"/>
        </w:numPr>
        <w:spacing w:after="60" w:line="260"/>
      </w:pPr>
      <w:r>
        <w:rPr>
          <w:rFonts w:ascii="Calibri" w:cs="Calibri" w:eastAsia="Calibri" w:hAnsi="Calibri"/>
          <w:sz w:val="20"/>
          <w:szCs w:val="20"/>
        </w:rPr>
        <w:t xml:space="preserve">Relation avec investisseurs (reporting régulier).</w:t>
      </w:r>
    </w:p>
    <w:p>
      <w:pPr>
        <w:spacing w:after="160" w:before="240"/>
      </w:pPr>
      <w:r>
        <w:rPr>
          <w:rFonts w:ascii="Calibri" w:cs="Calibri" w:eastAsia="Calibri" w:hAnsi="Calibri"/>
          <w:b/>
          <w:bCs/>
          <w:color w:val="1F4E79"/>
          <w:sz w:val="32"/>
          <w:szCs w:val="32"/>
        </w:rPr>
        <w:t xml:space="preserve">6. Procédures spécifiques par niveau</w:t>
      </w:r>
    </w:p>
    <w:p>
      <w:pPr>
        <w:spacing w:after="100" w:before="220"/>
      </w:pPr>
      <w:r>
        <w:rPr>
          <w:rFonts w:ascii="Calibri" w:cs="Calibri" w:eastAsia="Calibri" w:hAnsi="Calibri"/>
          <w:b/>
          <w:bCs/>
          <w:color w:val="E87722"/>
          <w:sz w:val="22"/>
          <w:szCs w:val="22"/>
        </w:rPr>
        <w:t xml:space="preserve">6.1. Niveau 1 — Indisponibilité courte</w:t>
      </w:r>
    </w:p>
    <w:p>
      <w:pPr>
        <w:pStyle w:val="ListParagraph"/>
        <w:numPr>
          <w:ilvl w:val="0"/>
          <w:numId w:val="3"/>
        </w:numPr>
        <w:spacing w:after="60" w:line="260"/>
      </w:pPr>
      <w:r>
        <w:rPr>
          <w:rFonts w:ascii="Calibri" w:cs="Calibri" w:eastAsia="Calibri" w:hAnsi="Calibri"/>
          <w:sz w:val="20"/>
          <w:szCs w:val="20"/>
        </w:rPr>
        <w:t xml:space="preserve">Information préalable de l'équipe sur la durée et les contacts d'urgence.</w:t>
      </w:r>
    </w:p>
    <w:p>
      <w:pPr>
        <w:pStyle w:val="ListParagraph"/>
        <w:numPr>
          <w:ilvl w:val="0"/>
          <w:numId w:val="3"/>
        </w:numPr>
        <w:spacing w:after="60" w:line="260"/>
      </w:pPr>
      <w:r>
        <w:rPr>
          <w:rFonts w:ascii="Calibri" w:cs="Calibri" w:eastAsia="Calibri" w:hAnsi="Calibri"/>
          <w:sz w:val="20"/>
          <w:szCs w:val="20"/>
        </w:rPr>
        <w:t xml:space="preserve">Délégation tacite des décisions opérationnelles courantes.</w:t>
      </w:r>
    </w:p>
    <w:p>
      <w:pPr>
        <w:pStyle w:val="ListParagraph"/>
        <w:numPr>
          <w:ilvl w:val="0"/>
          <w:numId w:val="3"/>
        </w:numPr>
        <w:spacing w:after="60" w:line="260"/>
      </w:pPr>
      <w:r>
        <w:rPr>
          <w:rFonts w:ascii="Calibri" w:cs="Calibri" w:eastAsia="Calibri" w:hAnsi="Calibri"/>
          <w:sz w:val="20"/>
          <w:szCs w:val="20"/>
        </w:rPr>
        <w:t xml:space="preserve">Référent intérim disponible.</w:t>
      </w:r>
    </w:p>
    <w:p>
      <w:pPr>
        <w:pStyle w:val="ListParagraph"/>
        <w:numPr>
          <w:ilvl w:val="0"/>
          <w:numId w:val="3"/>
        </w:numPr>
        <w:spacing w:after="60" w:line="260"/>
      </w:pPr>
      <w:r>
        <w:rPr>
          <w:rFonts w:ascii="Calibri" w:cs="Calibri" w:eastAsia="Calibri" w:hAnsi="Calibri"/>
          <w:sz w:val="20"/>
          <w:szCs w:val="20"/>
        </w:rPr>
        <w:t xml:space="preserve">Au retour : briefing rapide sur les événements de la période.</w:t>
      </w:r>
    </w:p>
    <w:p>
      <w:pPr>
        <w:spacing w:after="100" w:before="220"/>
      </w:pPr>
      <w:r>
        <w:rPr>
          <w:rFonts w:ascii="Calibri" w:cs="Calibri" w:eastAsia="Calibri" w:hAnsi="Calibri"/>
          <w:b/>
          <w:bCs/>
          <w:color w:val="E87722"/>
          <w:sz w:val="22"/>
          <w:szCs w:val="22"/>
        </w:rPr>
        <w:t xml:space="preserve">6.2. Niveau 2 — Indisponibilité moyenne</w:t>
      </w:r>
    </w:p>
    <w:p>
      <w:pPr>
        <w:pStyle w:val="ListParagraph"/>
        <w:numPr>
          <w:ilvl w:val="0"/>
          <w:numId w:val="3"/>
        </w:numPr>
        <w:spacing w:after="60" w:line="260"/>
      </w:pPr>
      <w:r>
        <w:rPr>
          <w:rFonts w:ascii="Calibri" w:cs="Calibri" w:eastAsia="Calibri" w:hAnsi="Calibri"/>
          <w:sz w:val="20"/>
          <w:szCs w:val="20"/>
        </w:rPr>
        <w:t xml:space="preserve">Activation formelle du référent intérim.</w:t>
      </w:r>
    </w:p>
    <w:p>
      <w:pPr>
        <w:pStyle w:val="ListParagraph"/>
        <w:numPr>
          <w:ilvl w:val="0"/>
          <w:numId w:val="3"/>
        </w:numPr>
        <w:spacing w:after="60" w:line="260"/>
      </w:pPr>
      <w:r>
        <w:rPr>
          <w:rFonts w:ascii="Calibri" w:cs="Calibri" w:eastAsia="Calibri" w:hAnsi="Calibri"/>
          <w:sz w:val="20"/>
          <w:szCs w:val="20"/>
        </w:rPr>
        <w:t xml:space="preserve">Information écrite aux investisseurs et associés.</w:t>
      </w:r>
    </w:p>
    <w:p>
      <w:pPr>
        <w:pStyle w:val="ListParagraph"/>
        <w:numPr>
          <w:ilvl w:val="0"/>
          <w:numId w:val="3"/>
        </w:numPr>
        <w:spacing w:after="60" w:line="260"/>
      </w:pPr>
      <w:r>
        <w:rPr>
          <w:rFonts w:ascii="Calibri" w:cs="Calibri" w:eastAsia="Calibri" w:hAnsi="Calibri"/>
          <w:sz w:val="20"/>
          <w:szCs w:val="20"/>
        </w:rPr>
        <w:t xml:space="preserve">Communication interne et externe coordonnée.</w:t>
      </w:r>
    </w:p>
    <w:p>
      <w:pPr>
        <w:pStyle w:val="ListParagraph"/>
        <w:numPr>
          <w:ilvl w:val="0"/>
          <w:numId w:val="3"/>
        </w:numPr>
        <w:spacing w:after="60" w:line="260"/>
      </w:pPr>
      <w:r>
        <w:rPr>
          <w:rFonts w:ascii="Calibri" w:cs="Calibri" w:eastAsia="Calibri" w:hAnsi="Calibri"/>
          <w:sz w:val="20"/>
          <w:szCs w:val="20"/>
        </w:rPr>
        <w:t xml:space="preserve">Reporting hebdomadaire à l'équipe et aux associés.</w:t>
      </w:r>
    </w:p>
    <w:p>
      <w:pPr>
        <w:pStyle w:val="ListParagraph"/>
        <w:numPr>
          <w:ilvl w:val="0"/>
          <w:numId w:val="3"/>
        </w:numPr>
        <w:spacing w:after="60" w:line="260"/>
      </w:pPr>
      <w:r>
        <w:rPr>
          <w:rFonts w:ascii="Calibri" w:cs="Calibri" w:eastAsia="Calibri" w:hAnsi="Calibri"/>
          <w:sz w:val="20"/>
          <w:szCs w:val="20"/>
        </w:rPr>
        <w:t xml:space="preserve">Limitation des décisions stratégiques.</w:t>
      </w:r>
    </w:p>
    <w:p>
      <w:pPr>
        <w:spacing w:after="100" w:before="220"/>
      </w:pPr>
      <w:r>
        <w:rPr>
          <w:rFonts w:ascii="Calibri" w:cs="Calibri" w:eastAsia="Calibri" w:hAnsi="Calibri"/>
          <w:b/>
          <w:bCs/>
          <w:color w:val="E87722"/>
          <w:sz w:val="22"/>
          <w:szCs w:val="22"/>
        </w:rPr>
        <w:t xml:space="preserve">6.3. Niveau 3 — Indisponibilité longue</w:t>
      </w:r>
    </w:p>
    <w:p>
      <w:pPr>
        <w:pStyle w:val="ListParagraph"/>
        <w:numPr>
          <w:ilvl w:val="0"/>
          <w:numId w:val="3"/>
        </w:numPr>
        <w:spacing w:after="60" w:line="260"/>
      </w:pPr>
      <w:r>
        <w:rPr>
          <w:rFonts w:ascii="Calibri" w:cs="Calibri" w:eastAsia="Calibri" w:hAnsi="Calibri"/>
          <w:sz w:val="20"/>
          <w:szCs w:val="20"/>
        </w:rPr>
        <w:t xml:space="preserve">Activation du Conseil de surveillance ad hoc.</w:t>
      </w:r>
    </w:p>
    <w:p>
      <w:pPr>
        <w:pStyle w:val="ListParagraph"/>
        <w:numPr>
          <w:ilvl w:val="0"/>
          <w:numId w:val="3"/>
        </w:numPr>
        <w:spacing w:after="60" w:line="260"/>
      </w:pPr>
      <w:r>
        <w:rPr>
          <w:rFonts w:ascii="Calibri" w:cs="Calibri" w:eastAsia="Calibri" w:hAnsi="Calibri"/>
          <w:sz w:val="20"/>
          <w:szCs w:val="20"/>
        </w:rPr>
        <w:t xml:space="preserve">Désignation Directeur Général par intérim.</w:t>
      </w:r>
    </w:p>
    <w:p>
      <w:pPr>
        <w:pStyle w:val="ListParagraph"/>
        <w:numPr>
          <w:ilvl w:val="0"/>
          <w:numId w:val="3"/>
        </w:numPr>
        <w:spacing w:after="60" w:line="260"/>
      </w:pPr>
      <w:r>
        <w:rPr>
          <w:rFonts w:ascii="Calibri" w:cs="Calibri" w:eastAsia="Calibri" w:hAnsi="Calibri"/>
          <w:sz w:val="20"/>
          <w:szCs w:val="20"/>
        </w:rPr>
        <w:t xml:space="preserve">Communication aux parties prenantes (équipe, partenaires, voyageurs si nécessaire).</w:t>
      </w:r>
    </w:p>
    <w:p>
      <w:pPr>
        <w:pStyle w:val="ListParagraph"/>
        <w:numPr>
          <w:ilvl w:val="0"/>
          <w:numId w:val="3"/>
        </w:numPr>
        <w:spacing w:after="60" w:line="260"/>
      </w:pPr>
      <w:r>
        <w:rPr>
          <w:rFonts w:ascii="Calibri" w:cs="Calibri" w:eastAsia="Calibri" w:hAnsi="Calibri"/>
          <w:sz w:val="20"/>
          <w:szCs w:val="20"/>
        </w:rPr>
        <w:t xml:space="preserve">Activation du Plan de continuité d'activité (cohérence document dédié).</w:t>
      </w:r>
    </w:p>
    <w:p>
      <w:pPr>
        <w:pStyle w:val="ListParagraph"/>
        <w:numPr>
          <w:ilvl w:val="0"/>
          <w:numId w:val="3"/>
        </w:numPr>
        <w:spacing w:after="60" w:line="260"/>
      </w:pPr>
      <w:r>
        <w:rPr>
          <w:rFonts w:ascii="Calibri" w:cs="Calibri" w:eastAsia="Calibri" w:hAnsi="Calibri"/>
          <w:sz w:val="20"/>
          <w:szCs w:val="20"/>
        </w:rPr>
        <w:t xml:space="preserve">Reporting mensuel investisseurs.</w:t>
      </w:r>
    </w:p>
    <w:p>
      <w:pPr>
        <w:pStyle w:val="ListParagraph"/>
        <w:numPr>
          <w:ilvl w:val="0"/>
          <w:numId w:val="3"/>
        </w:numPr>
        <w:spacing w:after="60" w:line="260"/>
      </w:pPr>
      <w:r>
        <w:rPr>
          <w:rFonts w:ascii="Calibri" w:cs="Calibri" w:eastAsia="Calibri" w:hAnsi="Calibri"/>
          <w:sz w:val="20"/>
          <w:szCs w:val="20"/>
        </w:rPr>
        <w:t xml:space="preserve">Évaluation à 3 et 6 mois.</w:t>
      </w:r>
    </w:p>
    <w:p>
      <w:pPr>
        <w:spacing w:after="100" w:before="220"/>
      </w:pPr>
      <w:r>
        <w:rPr>
          <w:rFonts w:ascii="Calibri" w:cs="Calibri" w:eastAsia="Calibri" w:hAnsi="Calibri"/>
          <w:b/>
          <w:bCs/>
          <w:color w:val="E87722"/>
          <w:sz w:val="22"/>
          <w:szCs w:val="22"/>
        </w:rPr>
        <w:t xml:space="preserve">6.4. Niveau 4 — Disparition / décès</w:t>
      </w:r>
    </w:p>
    <w:p>
      <w:pPr>
        <w:pStyle w:val="ListParagraph"/>
        <w:numPr>
          <w:ilvl w:val="0"/>
          <w:numId w:val="3"/>
        </w:numPr>
        <w:spacing w:after="60" w:line="260"/>
      </w:pPr>
      <w:r>
        <w:rPr>
          <w:rFonts w:ascii="Calibri" w:cs="Calibri" w:eastAsia="Calibri" w:hAnsi="Calibri"/>
          <w:sz w:val="20"/>
          <w:szCs w:val="20"/>
        </w:rPr>
        <w:t xml:space="preserve">Communication immédiate à la famille (priorité humaine).</w:t>
      </w:r>
    </w:p>
    <w:p>
      <w:pPr>
        <w:pStyle w:val="ListParagraph"/>
        <w:numPr>
          <w:ilvl w:val="0"/>
          <w:numId w:val="3"/>
        </w:numPr>
        <w:spacing w:after="60" w:line="260"/>
      </w:pPr>
      <w:r>
        <w:rPr>
          <w:rFonts w:ascii="Calibri" w:cs="Calibri" w:eastAsia="Calibri" w:hAnsi="Calibri"/>
          <w:sz w:val="20"/>
          <w:szCs w:val="20"/>
        </w:rPr>
        <w:t xml:space="preserve">Information confidentielle aux investisseurs et associés.</w:t>
      </w:r>
    </w:p>
    <w:p>
      <w:pPr>
        <w:pStyle w:val="ListParagraph"/>
        <w:numPr>
          <w:ilvl w:val="0"/>
          <w:numId w:val="3"/>
        </w:numPr>
        <w:spacing w:after="60" w:line="260"/>
      </w:pPr>
      <w:r>
        <w:rPr>
          <w:rFonts w:ascii="Calibri" w:cs="Calibri" w:eastAsia="Calibri" w:hAnsi="Calibri"/>
          <w:sz w:val="20"/>
          <w:szCs w:val="20"/>
        </w:rPr>
        <w:t xml:space="preserve">Activation Conseil de surveillance ad hoc.</w:t>
      </w:r>
    </w:p>
    <w:p>
      <w:pPr>
        <w:pStyle w:val="ListParagraph"/>
        <w:numPr>
          <w:ilvl w:val="0"/>
          <w:numId w:val="3"/>
        </w:numPr>
        <w:spacing w:after="60" w:line="260"/>
      </w:pPr>
      <w:r>
        <w:rPr>
          <w:rFonts w:ascii="Calibri" w:cs="Calibri" w:eastAsia="Calibri" w:hAnsi="Calibri"/>
          <w:sz w:val="20"/>
          <w:szCs w:val="20"/>
        </w:rPr>
        <w:t xml:space="preserve">Convocation AGE pour décision stratégique.</w:t>
      </w:r>
    </w:p>
    <w:p>
      <w:pPr>
        <w:pStyle w:val="ListParagraph"/>
        <w:numPr>
          <w:ilvl w:val="0"/>
          <w:numId w:val="3"/>
        </w:numPr>
        <w:spacing w:after="60" w:line="260"/>
      </w:pPr>
      <w:r>
        <w:rPr>
          <w:rFonts w:ascii="Calibri" w:cs="Calibri" w:eastAsia="Calibri" w:hAnsi="Calibri"/>
          <w:sz w:val="20"/>
          <w:szCs w:val="20"/>
        </w:rPr>
        <w:t xml:space="preserve">Communication mesurée à l'équipe et aux partenaires (avec accord famille).</w:t>
      </w:r>
    </w:p>
    <w:p>
      <w:pPr>
        <w:pStyle w:val="ListParagraph"/>
        <w:numPr>
          <w:ilvl w:val="0"/>
          <w:numId w:val="3"/>
        </w:numPr>
        <w:spacing w:after="60" w:line="260"/>
      </w:pPr>
      <w:r>
        <w:rPr>
          <w:rFonts w:ascii="Calibri" w:cs="Calibri" w:eastAsia="Calibri" w:hAnsi="Calibri"/>
          <w:sz w:val="20"/>
          <w:szCs w:val="20"/>
        </w:rPr>
        <w:t xml:space="preserve">Communication mesurée publique (cohérence Procédure de gestion de crise communication).</w:t>
      </w:r>
    </w:p>
    <w:p>
      <w:pPr>
        <w:pStyle w:val="ListParagraph"/>
        <w:numPr>
          <w:ilvl w:val="0"/>
          <w:numId w:val="3"/>
        </w:numPr>
        <w:spacing w:after="60" w:line="260"/>
      </w:pPr>
      <w:r>
        <w:rPr>
          <w:rFonts w:ascii="Calibri" w:cs="Calibri" w:eastAsia="Calibri" w:hAnsi="Calibri"/>
          <w:sz w:val="20"/>
          <w:szCs w:val="20"/>
        </w:rPr>
        <w:t xml:space="preserve">Décision sur l'avenir de la société (continuité, vente, dissolution).</w:t>
      </w:r>
    </w:p>
    <w:p>
      <w:pPr>
        <w:spacing w:after="160" w:before="240"/>
      </w:pPr>
      <w:r>
        <w:rPr>
          <w:rFonts w:ascii="Calibri" w:cs="Calibri" w:eastAsia="Calibri" w:hAnsi="Calibri"/>
          <w:b/>
          <w:bCs/>
          <w:color w:val="1F4E79"/>
          <w:sz w:val="32"/>
          <w:szCs w:val="32"/>
        </w:rPr>
        <w:t xml:space="preserve">7. Décisions stratégiques en cas de Niveau 4</w:t>
      </w:r>
    </w:p>
    <w:p>
      <w:pPr>
        <w:spacing w:after="100" w:before="220"/>
      </w:pPr>
      <w:r>
        <w:rPr>
          <w:rFonts w:ascii="Calibri" w:cs="Calibri" w:eastAsia="Calibri" w:hAnsi="Calibri"/>
          <w:b/>
          <w:bCs/>
          <w:color w:val="E87722"/>
          <w:sz w:val="22"/>
          <w:szCs w:val="22"/>
        </w:rPr>
        <w:t xml:space="preserve">7.1. Continuité avec nouveau dirigeant</w:t>
      </w:r>
    </w:p>
    <w:p>
      <w:pPr>
        <w:pStyle w:val="ListParagraph"/>
        <w:numPr>
          <w:ilvl w:val="0"/>
          <w:numId w:val="2"/>
        </w:numPr>
        <w:spacing w:after="60" w:line="260"/>
      </w:pPr>
      <w:r>
        <w:rPr>
          <w:rFonts w:ascii="Calibri" w:cs="Calibri" w:eastAsia="Calibri" w:hAnsi="Calibri"/>
          <w:sz w:val="20"/>
          <w:szCs w:val="20"/>
        </w:rPr>
        <w:t xml:space="preserve">Recherche d'un dirigeant aligné avec les valeurs Eventy.</w:t>
      </w:r>
    </w:p>
    <w:p>
      <w:pPr>
        <w:pStyle w:val="ListParagraph"/>
        <w:numPr>
          <w:ilvl w:val="0"/>
          <w:numId w:val="2"/>
        </w:numPr>
        <w:spacing w:after="60" w:line="260"/>
      </w:pPr>
      <w:r>
        <w:rPr>
          <w:rFonts w:ascii="Calibri" w:cs="Calibri" w:eastAsia="Calibri" w:hAnsi="Calibri"/>
          <w:sz w:val="20"/>
          <w:szCs w:val="20"/>
        </w:rPr>
        <w:t xml:space="preserve">Profil cible : tourisme, économie sociale, gestion d'entreprise.</w:t>
      </w:r>
    </w:p>
    <w:p>
      <w:pPr>
        <w:pStyle w:val="ListParagraph"/>
        <w:numPr>
          <w:ilvl w:val="0"/>
          <w:numId w:val="2"/>
        </w:numPr>
        <w:spacing w:after="60" w:line="260"/>
      </w:pPr>
      <w:r>
        <w:rPr>
          <w:rFonts w:ascii="Calibri" w:cs="Calibri" w:eastAsia="Calibri" w:hAnsi="Calibri"/>
          <w:sz w:val="20"/>
          <w:szCs w:val="20"/>
        </w:rPr>
        <w:t xml:space="preserve">Période transition 6-12 mois.</w:t>
      </w:r>
    </w:p>
    <w:p>
      <w:pPr>
        <w:pStyle w:val="ListParagraph"/>
        <w:numPr>
          <w:ilvl w:val="0"/>
          <w:numId w:val="2"/>
        </w:numPr>
        <w:spacing w:after="60" w:line="260"/>
      </w:pPr>
      <w:r>
        <w:rPr>
          <w:rFonts w:ascii="Calibri" w:cs="Calibri" w:eastAsia="Calibri" w:hAnsi="Calibri"/>
          <w:sz w:val="20"/>
          <w:szCs w:val="20"/>
        </w:rPr>
        <w:t xml:space="preserve">Maintien des engagements clients existants.</w:t>
      </w:r>
    </w:p>
    <w:p>
      <w:pPr>
        <w:spacing w:after="100" w:before="220"/>
      </w:pPr>
      <w:r>
        <w:rPr>
          <w:rFonts w:ascii="Calibri" w:cs="Calibri" w:eastAsia="Calibri" w:hAnsi="Calibri"/>
          <w:b/>
          <w:bCs/>
          <w:color w:val="E87722"/>
          <w:sz w:val="22"/>
          <w:szCs w:val="22"/>
        </w:rPr>
        <w:t xml:space="preserve">7.2. Cession à un acteur aligné</w:t>
      </w:r>
    </w:p>
    <w:p>
      <w:pPr>
        <w:pStyle w:val="ListParagraph"/>
        <w:numPr>
          <w:ilvl w:val="0"/>
          <w:numId w:val="2"/>
        </w:numPr>
        <w:spacing w:after="60" w:line="260"/>
      </w:pPr>
      <w:r>
        <w:rPr>
          <w:rFonts w:ascii="Calibri" w:cs="Calibri" w:eastAsia="Calibri" w:hAnsi="Calibri"/>
          <w:sz w:val="20"/>
          <w:szCs w:val="20"/>
        </w:rPr>
        <w:t xml:space="preserve">Recherche d'un repreneur partageant les valeurs.</w:t>
      </w:r>
    </w:p>
    <w:p>
      <w:pPr>
        <w:pStyle w:val="ListParagraph"/>
        <w:numPr>
          <w:ilvl w:val="0"/>
          <w:numId w:val="2"/>
        </w:numPr>
        <w:spacing w:after="60" w:line="260"/>
      </w:pPr>
      <w:r>
        <w:rPr>
          <w:rFonts w:ascii="Calibri" w:cs="Calibri" w:eastAsia="Calibri" w:hAnsi="Calibri"/>
          <w:sz w:val="20"/>
          <w:szCs w:val="20"/>
        </w:rPr>
        <w:t xml:space="preserve">Refus de cession à un acteur aux pratiques contraires (extraction, dumping).</w:t>
      </w:r>
    </w:p>
    <w:p>
      <w:pPr>
        <w:pStyle w:val="ListParagraph"/>
        <w:numPr>
          <w:ilvl w:val="0"/>
          <w:numId w:val="2"/>
        </w:numPr>
        <w:spacing w:after="60" w:line="260"/>
      </w:pPr>
      <w:r>
        <w:rPr>
          <w:rFonts w:ascii="Calibri" w:cs="Calibri" w:eastAsia="Calibri" w:hAnsi="Calibri"/>
          <w:sz w:val="20"/>
          <w:szCs w:val="20"/>
        </w:rPr>
        <w:t xml:space="preserve">Négociation pour préserver les engagements voyageurs et partenaires.</w:t>
      </w:r>
    </w:p>
    <w:p>
      <w:pPr>
        <w:spacing w:after="100" w:before="220"/>
      </w:pPr>
      <w:r>
        <w:rPr>
          <w:rFonts w:ascii="Calibri" w:cs="Calibri" w:eastAsia="Calibri" w:hAnsi="Calibri"/>
          <w:b/>
          <w:bCs/>
          <w:color w:val="E87722"/>
          <w:sz w:val="22"/>
          <w:szCs w:val="22"/>
        </w:rPr>
        <w:t xml:space="preserve">7.3. Dissolution ordonnée</w:t>
      </w:r>
    </w:p>
    <w:p>
      <w:pPr>
        <w:pStyle w:val="ListParagraph"/>
        <w:numPr>
          <w:ilvl w:val="0"/>
          <w:numId w:val="2"/>
        </w:numPr>
        <w:spacing w:after="60" w:line="260"/>
      </w:pPr>
      <w:r>
        <w:rPr>
          <w:rFonts w:ascii="Calibri" w:cs="Calibri" w:eastAsia="Calibri" w:hAnsi="Calibri"/>
          <w:sz w:val="20"/>
          <w:szCs w:val="20"/>
        </w:rPr>
        <w:t xml:space="preserve">Si aucun repreneur aligné, liquidation préservant les voyageurs.</w:t>
      </w:r>
    </w:p>
    <w:p>
      <w:pPr>
        <w:pStyle w:val="ListParagraph"/>
        <w:numPr>
          <w:ilvl w:val="0"/>
          <w:numId w:val="2"/>
        </w:numPr>
        <w:spacing w:after="60" w:line="260"/>
      </w:pPr>
      <w:r>
        <w:rPr>
          <w:rFonts w:ascii="Calibri" w:cs="Calibri" w:eastAsia="Calibri" w:hAnsi="Calibri"/>
          <w:sz w:val="20"/>
          <w:szCs w:val="20"/>
        </w:rPr>
        <w:t xml:space="preserve">Activation de la garantie financière APST pour rembourser les voyageurs.</w:t>
      </w:r>
    </w:p>
    <w:p>
      <w:pPr>
        <w:pStyle w:val="ListParagraph"/>
        <w:numPr>
          <w:ilvl w:val="0"/>
          <w:numId w:val="2"/>
        </w:numPr>
        <w:spacing w:after="60" w:line="260"/>
      </w:pPr>
      <w:r>
        <w:rPr>
          <w:rFonts w:ascii="Calibri" w:cs="Calibri" w:eastAsia="Calibri" w:hAnsi="Calibri"/>
          <w:sz w:val="20"/>
          <w:szCs w:val="20"/>
        </w:rPr>
        <w:t xml:space="preserve">Cession des actifs résiduels.</w:t>
      </w:r>
    </w:p>
    <w:p>
      <w:pPr>
        <w:pStyle w:val="ListParagraph"/>
        <w:numPr>
          <w:ilvl w:val="0"/>
          <w:numId w:val="2"/>
        </w:numPr>
        <w:spacing w:after="60" w:line="260"/>
      </w:pPr>
      <w:r>
        <w:rPr>
          <w:rFonts w:ascii="Calibri" w:cs="Calibri" w:eastAsia="Calibri" w:hAnsi="Calibri"/>
          <w:sz w:val="20"/>
          <w:szCs w:val="20"/>
        </w:rPr>
        <w:t xml:space="preserve">Communication transparente.</w:t>
      </w:r>
    </w:p>
    <w:p>
      <w:pPr>
        <w:spacing w:after="160" w:before="240"/>
      </w:pPr>
      <w:r>
        <w:rPr>
          <w:rFonts w:ascii="Calibri" w:cs="Calibri" w:eastAsia="Calibri" w:hAnsi="Calibri"/>
          <w:b/>
          <w:bCs/>
          <w:color w:val="1F4E79"/>
          <w:sz w:val="32"/>
          <w:szCs w:val="32"/>
        </w:rPr>
        <w:t xml:space="preserve">8. Engagements opposables</w:t>
      </w:r>
    </w:p>
    <w:p>
      <w:pPr>
        <w:pStyle w:val="ListParagraph"/>
        <w:numPr>
          <w:ilvl w:val="0"/>
          <w:numId w:val="2"/>
        </w:numPr>
        <w:spacing w:after="60" w:line="260"/>
      </w:pPr>
      <w:r>
        <w:rPr>
          <w:rFonts w:ascii="Calibri" w:cs="Calibri" w:eastAsia="Calibri" w:hAnsi="Calibri"/>
          <w:sz w:val="20"/>
          <w:szCs w:val="20"/>
        </w:rPr>
        <w:t xml:space="preserve">Mise à jour annuelle du présent plan.</w:t>
      </w:r>
    </w:p>
    <w:p>
      <w:pPr>
        <w:pStyle w:val="ListParagraph"/>
        <w:numPr>
          <w:ilvl w:val="0"/>
          <w:numId w:val="2"/>
        </w:numPr>
        <w:spacing w:after="60" w:line="260"/>
      </w:pPr>
      <w:r>
        <w:rPr>
          <w:rFonts w:ascii="Calibri" w:cs="Calibri" w:eastAsia="Calibri" w:hAnsi="Calibri"/>
          <w:sz w:val="20"/>
          <w:szCs w:val="20"/>
        </w:rPr>
        <w:t xml:space="preserve">Tests pratiques annuels (simulation de Niveau 1 ou 2).</w:t>
      </w:r>
    </w:p>
    <w:p>
      <w:pPr>
        <w:pStyle w:val="ListParagraph"/>
        <w:numPr>
          <w:ilvl w:val="0"/>
          <w:numId w:val="2"/>
        </w:numPr>
        <w:spacing w:after="60" w:line="260"/>
      </w:pPr>
      <w:r>
        <w:rPr>
          <w:rFonts w:ascii="Calibri" w:cs="Calibri" w:eastAsia="Calibri" w:hAnsi="Calibri"/>
          <w:sz w:val="20"/>
          <w:szCs w:val="20"/>
        </w:rPr>
        <w:t xml:space="preserve">Information annuelle des associés sur l'état du dispositif.</w:t>
      </w:r>
    </w:p>
    <w:p>
      <w:pPr>
        <w:pStyle w:val="ListParagraph"/>
        <w:numPr>
          <w:ilvl w:val="0"/>
          <w:numId w:val="2"/>
        </w:numPr>
        <w:spacing w:after="60" w:line="260"/>
      </w:pPr>
      <w:r>
        <w:rPr>
          <w:rFonts w:ascii="Calibri" w:cs="Calibri" w:eastAsia="Calibri" w:hAnsi="Calibri"/>
          <w:sz w:val="20"/>
          <w:szCs w:val="20"/>
        </w:rPr>
        <w:t xml:space="preserve">Maintien de la documentation à jour (coffre-fort numérique sécurisé).</w:t>
      </w:r>
    </w:p>
    <w:p>
      <w:pPr>
        <w:pStyle w:val="ListParagraph"/>
        <w:numPr>
          <w:ilvl w:val="0"/>
          <w:numId w:val="2"/>
        </w:numPr>
        <w:spacing w:after="60" w:line="260"/>
      </w:pPr>
      <w:r>
        <w:rPr>
          <w:rFonts w:ascii="Calibri" w:cs="Calibri" w:eastAsia="Calibri" w:hAnsi="Calibri"/>
          <w:sz w:val="20"/>
          <w:szCs w:val="20"/>
        </w:rPr>
        <w:t xml:space="preserve">Préservation des engagements voyageurs en toutes circonstances.</w:t>
      </w:r>
    </w:p>
    <w:p>
      <w:pPr>
        <w:pStyle w:val="ListParagraph"/>
        <w:numPr>
          <w:ilvl w:val="0"/>
          <w:numId w:val="2"/>
        </w:numPr>
        <w:spacing w:after="60" w:line="260"/>
      </w:pPr>
      <w:r>
        <w:rPr>
          <w:rFonts w:ascii="Calibri" w:cs="Calibri" w:eastAsia="Calibri" w:hAnsi="Calibri"/>
          <w:sz w:val="20"/>
          <w:szCs w:val="20"/>
        </w:rPr>
        <w:t xml:space="preserve">Refus de la dissolution chaotique en cas de Niveau 4.</w:t>
      </w:r>
    </w:p>
    <w:p>
      <w:pPr>
        <w:spacing w:after="160"/>
      </w:pPr>
      <w:r>
        <w:t xml:space="preserve"/>
      </w:r>
    </w:p>
    <w:p>
      <w:pPr>
        <w:spacing w:after="100" w:line="280"/>
        <w:jc w:val="both"/>
      </w:pPr>
      <w:r>
        <w:rPr>
          <w:rFonts w:ascii="Calibri" w:cs="Calibri" w:eastAsia="Calibri" w:hAnsi="Calibri"/>
          <w:i/>
          <w:iCs/>
          <w:color w:val="555555"/>
          <w:sz w:val="18"/>
          <w:szCs w:val="18"/>
        </w:rPr>
        <w:t xml:space="preserve">Document de référence interne et investisseur — Version 1.0 — 2 mai 2026. Mise à jour annuelle.</w:t>
      </w:r>
    </w:p>
    <w:p>
      <w:pPr>
        <w:spacing w:after="100" w:line="280"/>
        <w:jc w:val="both"/>
      </w:pPr>
      <w:r>
        <w:rPr>
          <w:rFonts w:ascii="Calibri" w:cs="Calibri" w:eastAsia="Calibri" w:hAnsi="Calibri"/>
          <w:i/>
          <w:iCs/>
          <w:color w:val="555555"/>
          <w:sz w:val="18"/>
          <w:szCs w:val="18"/>
        </w:rPr>
        <w:t xml:space="preserve">Cohérence avec : Statuts SAS, Pacte d'associés Seed, Plan de continuité d'activité, Procédure de gestion de crise communication, Politique d'assurance globale (RC dirigeant D&amp;O, garantie homme-clé), Manuel des opérations quotidiennes, Roadmap technique.</w:t>
      </w:r>
    </w:p>
    <w:sectPr>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Calibri" w:cs="Calibri" w:eastAsia="Calibri" w:hAnsi="Calibri"/>
        <w:color w:val="555555"/>
        <w:sz w:val="14"/>
        <w:szCs w:val="14"/>
      </w:rPr>
      <w:t xml:space="preserve">EVENTY LIFE SAS — Plan succession dirigeant</w:t>
    </w:r>
    <w:r>
      <w:rPr>
        <w:rFonts w:ascii="Calibri" w:cs="Calibri" w:eastAsia="Calibri" w:hAnsi="Calibri"/>
        <w:color w:val="555555"/>
        <w:sz w:val="14"/>
        <w:szCs w:val="14"/>
      </w:rPr>
      <w:t xml:space="preserve">	Page </w:t>
    </w:r>
    <w:r>
      <w:rPr>
        <w:rFonts w:ascii="Calibri" w:cs="Calibri" w:eastAsia="Calibri" w:hAnsi="Calibri"/>
        <w:color w:val="555555"/>
        <w:sz w:val="14"/>
        <w:szCs w:val="14"/>
      </w:rPr>
      <w:fldChar w:fldCharType="begin"/>
      <w:instrText xml:space="preserve">PAGE</w:instrText>
      <w:fldChar w:fldCharType="separate"/>
      <w:fldChar w:fldCharType="end"/>
    </w:r>
    <w:r>
      <w:rPr>
        <w:rFonts w:ascii="Calibri" w:cs="Calibri" w:eastAsia="Calibri" w:hAnsi="Calibri"/>
        <w:color w:val="555555"/>
        <w:sz w:val="14"/>
        <w:szCs w:val="14"/>
      </w:rPr>
      <w:t xml:space="preserve"> / </w:t>
    </w:r>
    <w:r>
      <w:rPr>
        <w:rFonts w:ascii="Calibri" w:cs="Calibri" w:eastAsia="Calibri" w:hAnsi="Calibri"/>
        <w:color w:val="555555"/>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Eventy Life — Plan de succession dirigeant</dc:title>
  <dc:creator>David Eventy — Eventy Life SAS</dc:creator>
  <dc:description>Continuité du dirigeant et résilience corporate.</dc:description>
  <cp:lastModifiedBy>Un-named</cp:lastModifiedBy>
  <cp:revision>1</cp:revision>
  <dcterms:created xsi:type="dcterms:W3CDTF">2026-05-02T03:07:57.531Z</dcterms:created>
  <dcterms:modified xsi:type="dcterms:W3CDTF">2026-05-02T03:07:57.531Z</dcterms:modified>
</cp:coreProperties>
</file>

<file path=docProps/custom.xml><?xml version="1.0" encoding="utf-8"?>
<Properties xmlns="http://schemas.openxmlformats.org/officeDocument/2006/custom-properties" xmlns:vt="http://schemas.openxmlformats.org/officeDocument/2006/docPropsVTypes"/>
</file>