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POLITIQUE D'ASSURANCE GLOBALE EVENTY</w:t>
            </w:r>
          </w:p>
          <w:p>
            <w:pPr>
              <w:spacing w:after="0"/>
              <w:jc w:val="center"/>
            </w:pPr>
            <w:r>
              <w:rPr>
                <w:rFonts w:ascii="Calibri" w:cs="Calibri" w:eastAsia="Calibri" w:hAnsi="Calibri"/>
                <w:i/>
                <w:iCs/>
                <w:color w:val="1F4E79"/>
                <w:sz w:val="18"/>
                <w:szCs w:val="18"/>
              </w:rPr>
              <w:t xml:space="preserve">Cartographie des couvertures et stratégie de gestion des risques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politique formalise la stratégie d'assurance d'EVENTY LIFE SAS sur l'ensemble de son périmètre d'activité. Elle complète et synthétise les couvertures spécifiques (RC Pro Tourisme, garantie financière APST, Pack Sérénité voyageurs) en une vue d'ensemble cohérente. Elle s'inscrit dans la cohérence du Plan de continuité d'activité et de la Politique de gestion des conflits d'intérêts.</w:t>
      </w:r>
    </w:p>
    <w:p>
      <w:pPr>
        <w:spacing w:after="100" w:line="280"/>
        <w:jc w:val="both"/>
      </w:pPr>
      <w:r>
        <w:rPr>
          <w:rFonts w:ascii="Calibri" w:cs="Calibri" w:eastAsia="Calibri" w:hAnsi="Calibri"/>
          <w:i/>
          <w:iCs/>
          <w:color w:val="1A1A1A"/>
          <w:sz w:val="20"/>
          <w:szCs w:val="20"/>
        </w:rPr>
        <w:t xml:space="preserve">L'approche Eventy en matière d'assurance : couvrir suffisamment pour protéger l'activité et les voyageurs, sans surcouvrance excessive. Chaque souscription est justifiée par une analyse de risque chiffrée. La transparence sur ces couvertures est un signal de confiance auprès des partenaires et des voyageurs.</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Code des assurances français.</w:t>
      </w:r>
    </w:p>
    <w:p>
      <w:pPr>
        <w:pStyle w:val="ListParagraph"/>
        <w:numPr>
          <w:ilvl w:val="0"/>
          <w:numId w:val="2"/>
        </w:numPr>
        <w:spacing w:after="60" w:line="260"/>
      </w:pPr>
      <w:r>
        <w:rPr>
          <w:rFonts w:ascii="Calibri" w:cs="Calibri" w:eastAsia="Calibri" w:hAnsi="Calibri"/>
          <w:sz w:val="20"/>
          <w:szCs w:val="20"/>
        </w:rPr>
        <w:t xml:space="preserve">Articles L211-16 et L211-17 du Code du tourisme — RC Pro obligatoire.</w:t>
      </w:r>
    </w:p>
    <w:p>
      <w:pPr>
        <w:pStyle w:val="ListParagraph"/>
        <w:numPr>
          <w:ilvl w:val="0"/>
          <w:numId w:val="2"/>
        </w:numPr>
        <w:spacing w:after="60" w:line="260"/>
      </w:pPr>
      <w:r>
        <w:rPr>
          <w:rFonts w:ascii="Calibri" w:cs="Calibri" w:eastAsia="Calibri" w:hAnsi="Calibri"/>
          <w:sz w:val="20"/>
          <w:szCs w:val="20"/>
        </w:rPr>
        <w:t xml:space="preserve">Article L211-18 du Code du tourisme — garantie financière obligatoire.</w:t>
      </w:r>
    </w:p>
    <w:p>
      <w:pPr>
        <w:pStyle w:val="ListParagraph"/>
        <w:numPr>
          <w:ilvl w:val="0"/>
          <w:numId w:val="2"/>
        </w:numPr>
        <w:spacing w:after="60" w:line="260"/>
      </w:pPr>
      <w:r>
        <w:rPr>
          <w:rFonts w:ascii="Calibri" w:cs="Calibri" w:eastAsia="Calibri" w:hAnsi="Calibri"/>
          <w:sz w:val="20"/>
          <w:szCs w:val="20"/>
        </w:rPr>
        <w:t xml:space="preserve">Recommandations APST (cohérence Dossier garantie financière).</w:t>
      </w:r>
    </w:p>
    <w:p>
      <w:pPr>
        <w:pStyle w:val="ListParagraph"/>
        <w:numPr>
          <w:ilvl w:val="0"/>
          <w:numId w:val="2"/>
        </w:numPr>
        <w:spacing w:after="60" w:line="260"/>
      </w:pPr>
      <w:r>
        <w:rPr>
          <w:rFonts w:ascii="Calibri" w:cs="Calibri" w:eastAsia="Calibri" w:hAnsi="Calibri"/>
          <w:sz w:val="20"/>
          <w:szCs w:val="20"/>
        </w:rPr>
        <w:t xml:space="preserve">Plan de continuité d'activité Eventy (cohérence).</w:t>
      </w:r>
    </w:p>
    <w:p>
      <w:pPr>
        <w:spacing w:after="160" w:before="240"/>
      </w:pPr>
      <w:r>
        <w:rPr>
          <w:rFonts w:ascii="Calibri" w:cs="Calibri" w:eastAsia="Calibri" w:hAnsi="Calibri"/>
          <w:b/>
          <w:bCs/>
          <w:color w:val="1F4E79"/>
          <w:sz w:val="32"/>
          <w:szCs w:val="32"/>
        </w:rPr>
        <w:t xml:space="preserve">2. Cartographie des couvertures Eventy</w:t>
      </w:r>
    </w:p>
    <w:p>
      <w:pPr>
        <w:spacing w:after="100" w:before="220"/>
      </w:pPr>
      <w:r>
        <w:rPr>
          <w:rFonts w:ascii="Calibri" w:cs="Calibri" w:eastAsia="Calibri" w:hAnsi="Calibri"/>
          <w:b/>
          <w:bCs/>
          <w:color w:val="E87722"/>
          <w:sz w:val="22"/>
          <w:szCs w:val="22"/>
        </w:rPr>
        <w:t xml:space="preserve">2.1. Vue d'ensemble — 7 couvertures structurelles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2496"/>
        <w:gridCol w:w="2496"/>
        <w:gridCol w:w="1872"/>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Couverture</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Plafond / engagement</w:t>
            </w:r>
          </w:p>
        </w:tc>
        <w:tc>
          <w:tcPr>
            <w:tcW w:type="dxa" w:w="1872"/>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Coût annuel estimé</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Garantie financière APST</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 M€</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 fonds voyageurs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2 100 €</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RC Pro Tourisme</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Hiscox/Galian/CMB</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 M€/sinistre, ≥ 5 M€/an</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780-1 200 €</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Multirisque locaux</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Tous risques bureau</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Selon valeur biens</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300-600 €</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Cyber risque</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Sinistres SI/données</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500 K€</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1 000-2 500 €</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Pack Sérénité voyageurs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Assistance + rapatriement</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Inclus dans voyage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Refacturé voyageur</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Mutuelle équipe (santé)</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Mutuelle entreprise</w:t>
            </w:r>
          </w:p>
        </w:tc>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70 % part Eventy</w:t>
            </w:r>
          </w:p>
        </w:tc>
        <w:tc>
          <w:tcPr>
            <w:tcW w:type="dxa" w:w="1872"/>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Selon effectif</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RC dirigeant (D&amp;O)</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Resp. civile dirigeants</w:t>
            </w:r>
          </w:p>
        </w:tc>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 M€/sinistre</w:t>
            </w:r>
          </w:p>
        </w:tc>
        <w:tc>
          <w:tcPr>
            <w:tcW w:type="dxa" w:w="1872"/>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1 500-3 000 €</w:t>
            </w:r>
          </w:p>
        </w:tc>
      </w:tr>
    </w:tbl>
    <w:p>
      <w:pPr>
        <w:spacing w:after="160" w:before="240"/>
      </w:pPr>
      <w:r>
        <w:rPr>
          <w:rFonts w:ascii="Calibri" w:cs="Calibri" w:eastAsia="Calibri" w:hAnsi="Calibri"/>
          <w:b/>
          <w:bCs/>
          <w:color w:val="1F4E79"/>
          <w:sz w:val="32"/>
          <w:szCs w:val="32"/>
        </w:rPr>
        <w:t xml:space="preserve">3. Détail par couverture</w:t>
      </w:r>
    </w:p>
    <w:p>
      <w:pPr>
        <w:spacing w:after="100" w:before="220"/>
      </w:pPr>
      <w:r>
        <w:rPr>
          <w:rFonts w:ascii="Calibri" w:cs="Calibri" w:eastAsia="Calibri" w:hAnsi="Calibri"/>
          <w:b/>
          <w:bCs/>
          <w:color w:val="E87722"/>
          <w:sz w:val="22"/>
          <w:szCs w:val="22"/>
        </w:rPr>
        <w:t xml:space="preserve">3.1. Garantie financière APST (priorité absolue)</w:t>
      </w:r>
    </w:p>
    <w:p>
      <w:pPr>
        <w:pStyle w:val="ListParagraph"/>
        <w:numPr>
          <w:ilvl w:val="0"/>
          <w:numId w:val="2"/>
        </w:numPr>
        <w:spacing w:after="60" w:line="260"/>
      </w:pPr>
      <w:r>
        <w:rPr>
          <w:rFonts w:ascii="Calibri" w:cs="Calibri" w:eastAsia="Calibri" w:hAnsi="Calibri"/>
          <w:sz w:val="20"/>
          <w:szCs w:val="20"/>
        </w:rPr>
        <w:t xml:space="preserve">Cohérence avec Dossier garantie financière APST.</w:t>
      </w:r>
    </w:p>
    <w:p>
      <w:pPr>
        <w:pStyle w:val="ListParagraph"/>
        <w:numPr>
          <w:ilvl w:val="0"/>
          <w:numId w:val="2"/>
        </w:numPr>
        <w:spacing w:after="60" w:line="260"/>
      </w:pPr>
      <w:r>
        <w:rPr>
          <w:rFonts w:ascii="Calibri" w:cs="Calibri" w:eastAsia="Calibri" w:hAnsi="Calibri"/>
          <w:sz w:val="20"/>
          <w:szCs w:val="20"/>
        </w:rPr>
        <w:t xml:space="preserve">Garantit 100 % des fonds versés par les voyageurs en cas de défaillance Eventy.</w:t>
      </w:r>
    </w:p>
    <w:p>
      <w:pPr>
        <w:pStyle w:val="ListParagraph"/>
        <w:numPr>
          <w:ilvl w:val="0"/>
          <w:numId w:val="2"/>
        </w:numPr>
        <w:spacing w:after="60" w:line="260"/>
      </w:pPr>
      <w:r>
        <w:rPr>
          <w:rFonts w:ascii="Calibri" w:cs="Calibri" w:eastAsia="Calibri" w:hAnsi="Calibri"/>
          <w:sz w:val="20"/>
          <w:szCs w:val="20"/>
        </w:rPr>
        <w:t xml:space="preserve">Activée par : compte cantonné voyageurs + adhésion APST.</w:t>
      </w:r>
    </w:p>
    <w:p>
      <w:pPr>
        <w:pStyle w:val="ListParagraph"/>
        <w:numPr>
          <w:ilvl w:val="0"/>
          <w:numId w:val="2"/>
        </w:numPr>
        <w:spacing w:after="60" w:line="260"/>
      </w:pPr>
      <w:r>
        <w:rPr>
          <w:rFonts w:ascii="Calibri" w:cs="Calibri" w:eastAsia="Calibri" w:hAnsi="Calibri"/>
          <w:sz w:val="20"/>
          <w:szCs w:val="20"/>
        </w:rPr>
        <w:t xml:space="preserve">Volume cible : 1,6 M€ An 1, ajusté trimestriellement selon pic des fonds en transit.</w:t>
      </w:r>
    </w:p>
    <w:p>
      <w:pPr>
        <w:pStyle w:val="ListParagraph"/>
        <w:numPr>
          <w:ilvl w:val="0"/>
          <w:numId w:val="2"/>
        </w:numPr>
        <w:spacing w:after="60" w:line="260"/>
      </w:pPr>
      <w:r>
        <w:rPr>
          <w:rFonts w:ascii="Calibri" w:cs="Calibri" w:eastAsia="Calibri" w:hAnsi="Calibri"/>
          <w:sz w:val="20"/>
          <w:szCs w:val="20"/>
        </w:rPr>
        <w:t xml:space="preserve">Reporting trimestriel APST obligatoire.</w:t>
      </w:r>
    </w:p>
    <w:p>
      <w:pPr>
        <w:pStyle w:val="ListParagraph"/>
        <w:numPr>
          <w:ilvl w:val="0"/>
          <w:numId w:val="2"/>
        </w:numPr>
        <w:spacing w:after="60" w:line="260"/>
      </w:pPr>
      <w:r>
        <w:rPr>
          <w:rFonts w:ascii="Calibri" w:cs="Calibri" w:eastAsia="Calibri" w:hAnsi="Calibri"/>
          <w:sz w:val="20"/>
          <w:szCs w:val="20"/>
        </w:rPr>
        <w:t xml:space="preserve">Coût annuel : ~2 100 € en An 1, évolutif selon volume.</w:t>
      </w:r>
    </w:p>
    <w:p>
      <w:pPr>
        <w:spacing w:after="100" w:before="220"/>
      </w:pPr>
      <w:r>
        <w:rPr>
          <w:rFonts w:ascii="Calibri" w:cs="Calibri" w:eastAsia="Calibri" w:hAnsi="Calibri"/>
          <w:b/>
          <w:bCs/>
          <w:color w:val="E87722"/>
          <w:sz w:val="22"/>
          <w:szCs w:val="22"/>
        </w:rPr>
        <w:t xml:space="preserve">3.2. RC Pro Tourisme (priorité réglementaire)</w:t>
      </w:r>
    </w:p>
    <w:p>
      <w:pPr>
        <w:pStyle w:val="ListParagraph"/>
        <w:numPr>
          <w:ilvl w:val="0"/>
          <w:numId w:val="2"/>
        </w:numPr>
        <w:spacing w:after="60" w:line="260"/>
      </w:pPr>
      <w:r>
        <w:rPr>
          <w:rFonts w:ascii="Calibri" w:cs="Calibri" w:eastAsia="Calibri" w:hAnsi="Calibri"/>
          <w:sz w:val="20"/>
          <w:szCs w:val="20"/>
        </w:rPr>
        <w:t xml:space="preserve">Obligatoire (article L211-18 Code du tourisme).</w:t>
      </w:r>
    </w:p>
    <w:p>
      <w:pPr>
        <w:pStyle w:val="ListParagraph"/>
        <w:numPr>
          <w:ilvl w:val="0"/>
          <w:numId w:val="2"/>
        </w:numPr>
        <w:spacing w:after="60" w:line="260"/>
      </w:pPr>
      <w:r>
        <w:rPr>
          <w:rFonts w:ascii="Calibri" w:cs="Calibri" w:eastAsia="Calibri" w:hAnsi="Calibri"/>
          <w:sz w:val="20"/>
          <w:szCs w:val="20"/>
        </w:rPr>
        <w:t xml:space="preserve">Couvre la responsabilité civile professionnelle (dommages causés aux voyageurs et tiers).</w:t>
      </w:r>
    </w:p>
    <w:p>
      <w:pPr>
        <w:pStyle w:val="ListParagraph"/>
        <w:numPr>
          <w:ilvl w:val="0"/>
          <w:numId w:val="2"/>
        </w:numPr>
        <w:spacing w:after="60" w:line="260"/>
      </w:pPr>
      <w:r>
        <w:rPr>
          <w:rFonts w:ascii="Calibri" w:cs="Calibri" w:eastAsia="Calibri" w:hAnsi="Calibri"/>
          <w:sz w:val="20"/>
          <w:szCs w:val="20"/>
        </w:rPr>
        <w:t xml:space="preserve">Plafonds Eventy An 1 : ≥ 2 M€ par sinistre, ≥ 5 M€ par année d'assurance.</w:t>
      </w:r>
    </w:p>
    <w:p>
      <w:pPr>
        <w:pStyle w:val="ListParagraph"/>
        <w:numPr>
          <w:ilvl w:val="0"/>
          <w:numId w:val="2"/>
        </w:numPr>
        <w:spacing w:after="60" w:line="260"/>
      </w:pPr>
      <w:r>
        <w:rPr>
          <w:rFonts w:ascii="Calibri" w:cs="Calibri" w:eastAsia="Calibri" w:hAnsi="Calibri"/>
          <w:sz w:val="20"/>
          <w:szCs w:val="20"/>
        </w:rPr>
        <w:t xml:space="preserve">Assureurs envisagés : Hiscox, Galian, CMB Assurances (cohérence Dossier garantie financière).</w:t>
      </w:r>
    </w:p>
    <w:p>
      <w:pPr>
        <w:pStyle w:val="ListParagraph"/>
        <w:numPr>
          <w:ilvl w:val="0"/>
          <w:numId w:val="2"/>
        </w:numPr>
        <w:spacing w:after="60" w:line="260"/>
      </w:pPr>
      <w:r>
        <w:rPr>
          <w:rFonts w:ascii="Calibri" w:cs="Calibri" w:eastAsia="Calibri" w:hAnsi="Calibri"/>
          <w:sz w:val="20"/>
          <w:szCs w:val="20"/>
        </w:rPr>
        <w:t xml:space="preserve">Coût : 780-1 200 €/an en An 1.</w:t>
      </w:r>
    </w:p>
    <w:p>
      <w:pPr>
        <w:pStyle w:val="ListParagraph"/>
        <w:numPr>
          <w:ilvl w:val="0"/>
          <w:numId w:val="2"/>
        </w:numPr>
        <w:spacing w:after="60" w:line="260"/>
      </w:pPr>
      <w:r>
        <w:rPr>
          <w:rFonts w:ascii="Calibri" w:cs="Calibri" w:eastAsia="Calibri" w:hAnsi="Calibri"/>
          <w:sz w:val="20"/>
          <w:szCs w:val="20"/>
        </w:rPr>
        <w:t xml:space="preserve">Évolution : ajustement annuel selon CA et sinistralité.</w:t>
      </w:r>
    </w:p>
    <w:p>
      <w:pPr>
        <w:spacing w:after="100" w:before="220"/>
      </w:pPr>
      <w:r>
        <w:rPr>
          <w:rFonts w:ascii="Calibri" w:cs="Calibri" w:eastAsia="Calibri" w:hAnsi="Calibri"/>
          <w:b/>
          <w:bCs/>
          <w:color w:val="E87722"/>
          <w:sz w:val="22"/>
          <w:szCs w:val="22"/>
        </w:rPr>
        <w:t xml:space="preserve">3.3. Multirisque locaux</w:t>
      </w:r>
    </w:p>
    <w:p>
      <w:pPr>
        <w:pStyle w:val="ListParagraph"/>
        <w:numPr>
          <w:ilvl w:val="0"/>
          <w:numId w:val="2"/>
        </w:numPr>
        <w:spacing w:after="60" w:line="260"/>
      </w:pPr>
      <w:r>
        <w:rPr>
          <w:rFonts w:ascii="Calibri" w:cs="Calibri" w:eastAsia="Calibri" w:hAnsi="Calibri"/>
          <w:sz w:val="20"/>
          <w:szCs w:val="20"/>
        </w:rPr>
        <w:t xml:space="preserve">Couvre les locaux Eventy (siège, espaces de coworking).</w:t>
      </w:r>
    </w:p>
    <w:p>
      <w:pPr>
        <w:pStyle w:val="ListParagraph"/>
        <w:numPr>
          <w:ilvl w:val="0"/>
          <w:numId w:val="2"/>
        </w:numPr>
        <w:spacing w:after="60" w:line="260"/>
      </w:pPr>
      <w:r>
        <w:rPr>
          <w:rFonts w:ascii="Calibri" w:cs="Calibri" w:eastAsia="Calibri" w:hAnsi="Calibri"/>
          <w:sz w:val="20"/>
          <w:szCs w:val="20"/>
        </w:rPr>
        <w:t xml:space="preserve">Périls couverts : incendie, dégâts des eaux, vol, bris, responsabilité occupant.</w:t>
      </w:r>
    </w:p>
    <w:p>
      <w:pPr>
        <w:pStyle w:val="ListParagraph"/>
        <w:numPr>
          <w:ilvl w:val="0"/>
          <w:numId w:val="2"/>
        </w:numPr>
        <w:spacing w:after="60" w:line="260"/>
      </w:pPr>
      <w:r>
        <w:rPr>
          <w:rFonts w:ascii="Calibri" w:cs="Calibri" w:eastAsia="Calibri" w:hAnsi="Calibri"/>
          <w:sz w:val="20"/>
          <w:szCs w:val="20"/>
        </w:rPr>
        <w:t xml:space="preserve">Matériel informatique inclus.</w:t>
      </w:r>
    </w:p>
    <w:p>
      <w:pPr>
        <w:pStyle w:val="ListParagraph"/>
        <w:numPr>
          <w:ilvl w:val="0"/>
          <w:numId w:val="2"/>
        </w:numPr>
        <w:spacing w:after="60" w:line="260"/>
      </w:pPr>
      <w:r>
        <w:rPr>
          <w:rFonts w:ascii="Calibri" w:cs="Calibri" w:eastAsia="Calibri" w:hAnsi="Calibri"/>
          <w:sz w:val="20"/>
          <w:szCs w:val="20"/>
        </w:rPr>
        <w:t xml:space="preserve">Coût : 300-600 €/an selon surface et matériel.</w:t>
      </w:r>
    </w:p>
    <w:p>
      <w:pPr>
        <w:spacing w:after="100" w:before="220"/>
      </w:pPr>
      <w:r>
        <w:rPr>
          <w:rFonts w:ascii="Calibri" w:cs="Calibri" w:eastAsia="Calibri" w:hAnsi="Calibri"/>
          <w:b/>
          <w:bCs/>
          <w:color w:val="E87722"/>
          <w:sz w:val="22"/>
          <w:szCs w:val="22"/>
        </w:rPr>
        <w:t xml:space="preserve">3.4. Cyber risque</w:t>
      </w:r>
    </w:p>
    <w:p>
      <w:pPr>
        <w:pStyle w:val="ListParagraph"/>
        <w:numPr>
          <w:ilvl w:val="0"/>
          <w:numId w:val="2"/>
        </w:numPr>
        <w:spacing w:after="60" w:line="260"/>
      </w:pPr>
      <w:r>
        <w:rPr>
          <w:rFonts w:ascii="Calibri" w:cs="Calibri" w:eastAsia="Calibri" w:hAnsi="Calibri"/>
          <w:sz w:val="20"/>
          <w:szCs w:val="20"/>
        </w:rPr>
        <w:t xml:space="preserve">Couvre les sinistres liés au système d'information : cyberattaque, ransomware, fuite de données.</w:t>
      </w:r>
    </w:p>
    <w:p>
      <w:pPr>
        <w:pStyle w:val="ListParagraph"/>
        <w:numPr>
          <w:ilvl w:val="0"/>
          <w:numId w:val="2"/>
        </w:numPr>
        <w:spacing w:after="60" w:line="260"/>
      </w:pPr>
      <w:r>
        <w:rPr>
          <w:rFonts w:ascii="Calibri" w:cs="Calibri" w:eastAsia="Calibri" w:hAnsi="Calibri"/>
          <w:sz w:val="20"/>
          <w:szCs w:val="20"/>
        </w:rPr>
        <w:t xml:space="preserve">Cohérence avec la Politique cybersécurité.</w:t>
      </w:r>
    </w:p>
    <w:p>
      <w:pPr>
        <w:pStyle w:val="ListParagraph"/>
        <w:numPr>
          <w:ilvl w:val="0"/>
          <w:numId w:val="2"/>
        </w:numPr>
        <w:spacing w:after="60" w:line="260"/>
      </w:pPr>
      <w:r>
        <w:rPr>
          <w:rFonts w:ascii="Calibri" w:cs="Calibri" w:eastAsia="Calibri" w:hAnsi="Calibri"/>
          <w:sz w:val="20"/>
          <w:szCs w:val="20"/>
        </w:rPr>
        <w:t xml:space="preserve">Inclus : frais de gestion de crise, notification CNIL, indemnités voyageurs (limites prévues).</w:t>
      </w:r>
    </w:p>
    <w:p>
      <w:pPr>
        <w:pStyle w:val="ListParagraph"/>
        <w:numPr>
          <w:ilvl w:val="0"/>
          <w:numId w:val="2"/>
        </w:numPr>
        <w:spacing w:after="60" w:line="260"/>
      </w:pPr>
      <w:r>
        <w:rPr>
          <w:rFonts w:ascii="Calibri" w:cs="Calibri" w:eastAsia="Calibri" w:hAnsi="Calibri"/>
          <w:sz w:val="20"/>
          <w:szCs w:val="20"/>
        </w:rPr>
        <w:t xml:space="preserve">Plafond : ≥ 500 K€ par sinistre.</w:t>
      </w:r>
    </w:p>
    <w:p>
      <w:pPr>
        <w:pStyle w:val="ListParagraph"/>
        <w:numPr>
          <w:ilvl w:val="0"/>
          <w:numId w:val="2"/>
        </w:numPr>
        <w:spacing w:after="60" w:line="260"/>
      </w:pPr>
      <w:r>
        <w:rPr>
          <w:rFonts w:ascii="Calibri" w:cs="Calibri" w:eastAsia="Calibri" w:hAnsi="Calibri"/>
          <w:sz w:val="20"/>
          <w:szCs w:val="20"/>
        </w:rPr>
        <w:t xml:space="preserve">Coût : 1 000-2 500 €/an en An 1, évolutif selon CA et données traitées.</w:t>
      </w:r>
    </w:p>
    <w:p>
      <w:pPr>
        <w:spacing w:after="100" w:before="220"/>
      </w:pPr>
      <w:r>
        <w:rPr>
          <w:rFonts w:ascii="Calibri" w:cs="Calibri" w:eastAsia="Calibri" w:hAnsi="Calibri"/>
          <w:b/>
          <w:bCs/>
          <w:color w:val="E87722"/>
          <w:sz w:val="22"/>
          <w:szCs w:val="22"/>
        </w:rPr>
        <w:t xml:space="preserve">3.5. Pack Sérénité voyageurs</w:t>
      </w:r>
    </w:p>
    <w:p>
      <w:pPr>
        <w:pStyle w:val="ListParagraph"/>
        <w:numPr>
          <w:ilvl w:val="0"/>
          <w:numId w:val="2"/>
        </w:numPr>
        <w:spacing w:after="60" w:line="260"/>
      </w:pPr>
      <w:r>
        <w:rPr>
          <w:rFonts w:ascii="Calibri" w:cs="Calibri" w:eastAsia="Calibri" w:hAnsi="Calibri"/>
          <w:sz w:val="20"/>
          <w:szCs w:val="20"/>
        </w:rPr>
        <w:t xml:space="preserve">Inclus dans tout voyage Eventy (cohérence Glossaire voyage et CGV).</w:t>
      </w:r>
    </w:p>
    <w:p>
      <w:pPr>
        <w:pStyle w:val="ListParagraph"/>
        <w:numPr>
          <w:ilvl w:val="0"/>
          <w:numId w:val="2"/>
        </w:numPr>
        <w:spacing w:after="60" w:line="260"/>
      </w:pPr>
      <w:r>
        <w:rPr>
          <w:rFonts w:ascii="Calibri" w:cs="Calibri" w:eastAsia="Calibri" w:hAnsi="Calibri"/>
          <w:sz w:val="20"/>
          <w:szCs w:val="20"/>
        </w:rPr>
        <w:t xml:space="preserve">Assistance médicale 24/7, hébergement de secours, rapatriement, soutien psychologique.</w:t>
      </w:r>
    </w:p>
    <w:p>
      <w:pPr>
        <w:pStyle w:val="ListParagraph"/>
        <w:numPr>
          <w:ilvl w:val="0"/>
          <w:numId w:val="2"/>
        </w:numPr>
        <w:spacing w:after="60" w:line="260"/>
      </w:pPr>
      <w:r>
        <w:rPr>
          <w:rFonts w:ascii="Calibri" w:cs="Calibri" w:eastAsia="Calibri" w:hAnsi="Calibri"/>
          <w:sz w:val="20"/>
          <w:szCs w:val="20"/>
        </w:rPr>
        <w:t xml:space="preserve">Souscrit auprès d'un assureur d'assistance (ex : Mondial Assistance, Europ Assistance).</w:t>
      </w:r>
    </w:p>
    <w:p>
      <w:pPr>
        <w:pStyle w:val="ListParagraph"/>
        <w:numPr>
          <w:ilvl w:val="0"/>
          <w:numId w:val="2"/>
        </w:numPr>
        <w:spacing w:after="60" w:line="260"/>
      </w:pPr>
      <w:r>
        <w:rPr>
          <w:rFonts w:ascii="Calibri" w:cs="Calibri" w:eastAsia="Calibri" w:hAnsi="Calibri"/>
          <w:sz w:val="20"/>
          <w:szCs w:val="20"/>
        </w:rPr>
        <w:t xml:space="preserve">Coût refacturé au voyageur dans le prix du voyage.</w:t>
      </w:r>
    </w:p>
    <w:p>
      <w:pPr>
        <w:pStyle w:val="ListParagraph"/>
        <w:numPr>
          <w:ilvl w:val="0"/>
          <w:numId w:val="2"/>
        </w:numPr>
        <w:spacing w:after="60" w:line="260"/>
      </w:pPr>
      <w:r>
        <w:rPr>
          <w:rFonts w:ascii="Calibri" w:cs="Calibri" w:eastAsia="Calibri" w:hAnsi="Calibri"/>
          <w:sz w:val="20"/>
          <w:szCs w:val="20"/>
        </w:rPr>
        <w:t xml:space="preserve">Cohérence Dossier garantie financière (4 niveaux de protection).</w:t>
      </w:r>
    </w:p>
    <w:p>
      <w:pPr>
        <w:spacing w:after="100" w:before="220"/>
      </w:pPr>
      <w:r>
        <w:rPr>
          <w:rFonts w:ascii="Calibri" w:cs="Calibri" w:eastAsia="Calibri" w:hAnsi="Calibri"/>
          <w:b/>
          <w:bCs/>
          <w:color w:val="E87722"/>
          <w:sz w:val="22"/>
          <w:szCs w:val="22"/>
        </w:rPr>
        <w:t xml:space="preserve">3.6. Mutuelle santé équipe</w:t>
      </w:r>
    </w:p>
    <w:p>
      <w:pPr>
        <w:pStyle w:val="ListParagraph"/>
        <w:numPr>
          <w:ilvl w:val="0"/>
          <w:numId w:val="2"/>
        </w:numPr>
        <w:spacing w:after="60" w:line="260"/>
      </w:pPr>
      <w:r>
        <w:rPr>
          <w:rFonts w:ascii="Calibri" w:cs="Calibri" w:eastAsia="Calibri" w:hAnsi="Calibri"/>
          <w:sz w:val="20"/>
          <w:szCs w:val="20"/>
        </w:rPr>
        <w:t xml:space="preserve">Mutuelle d'entreprise obligatoire dès le 1er salarié (loi ANI 2016).</w:t>
      </w:r>
    </w:p>
    <w:p>
      <w:pPr>
        <w:pStyle w:val="ListParagraph"/>
        <w:numPr>
          <w:ilvl w:val="0"/>
          <w:numId w:val="2"/>
        </w:numPr>
        <w:spacing w:after="60" w:line="260"/>
      </w:pPr>
      <w:r>
        <w:rPr>
          <w:rFonts w:ascii="Calibri" w:cs="Calibri" w:eastAsia="Calibri" w:hAnsi="Calibri"/>
          <w:sz w:val="20"/>
          <w:szCs w:val="20"/>
        </w:rPr>
        <w:t xml:space="preserve">Eventy : prise en charge à 70 % (vs 50 % obligatoire) — cohérence Charte télétravail.</w:t>
      </w:r>
    </w:p>
    <w:p>
      <w:pPr>
        <w:pStyle w:val="ListParagraph"/>
        <w:numPr>
          <w:ilvl w:val="0"/>
          <w:numId w:val="2"/>
        </w:numPr>
        <w:spacing w:after="60" w:line="260"/>
      </w:pPr>
      <w:r>
        <w:rPr>
          <w:rFonts w:ascii="Calibri" w:cs="Calibri" w:eastAsia="Calibri" w:hAnsi="Calibri"/>
          <w:sz w:val="20"/>
          <w:szCs w:val="20"/>
        </w:rPr>
        <w:t xml:space="preserve">Coût total selon effectif et niveau de garantie choisi.</w:t>
      </w:r>
    </w:p>
    <w:p>
      <w:pPr>
        <w:spacing w:after="100" w:before="220"/>
      </w:pPr>
      <w:r>
        <w:rPr>
          <w:rFonts w:ascii="Calibri" w:cs="Calibri" w:eastAsia="Calibri" w:hAnsi="Calibri"/>
          <w:b/>
          <w:bCs/>
          <w:color w:val="E87722"/>
          <w:sz w:val="22"/>
          <w:szCs w:val="22"/>
        </w:rPr>
        <w:t xml:space="preserve">3.7. RC dirigeant (D&amp;O — Directors &amp; Officers)</w:t>
      </w:r>
    </w:p>
    <w:p>
      <w:pPr>
        <w:pStyle w:val="ListParagraph"/>
        <w:numPr>
          <w:ilvl w:val="0"/>
          <w:numId w:val="2"/>
        </w:numPr>
        <w:spacing w:after="60" w:line="260"/>
      </w:pPr>
      <w:r>
        <w:rPr>
          <w:rFonts w:ascii="Calibri" w:cs="Calibri" w:eastAsia="Calibri" w:hAnsi="Calibri"/>
          <w:sz w:val="20"/>
          <w:szCs w:val="20"/>
        </w:rPr>
        <w:t xml:space="preserve">Couvre la responsabilité civile et personnelle du dirigeant.</w:t>
      </w:r>
    </w:p>
    <w:p>
      <w:pPr>
        <w:pStyle w:val="ListParagraph"/>
        <w:numPr>
          <w:ilvl w:val="0"/>
          <w:numId w:val="2"/>
        </w:numPr>
        <w:spacing w:after="60" w:line="260"/>
      </w:pPr>
      <w:r>
        <w:rPr>
          <w:rFonts w:ascii="Calibri" w:cs="Calibri" w:eastAsia="Calibri" w:hAnsi="Calibri"/>
          <w:sz w:val="20"/>
          <w:szCs w:val="20"/>
        </w:rPr>
        <w:t xml:space="preserve">Indispensable dès la levée de fonds Seed (cohérence Pacte associés Seed).</w:t>
      </w:r>
    </w:p>
    <w:p>
      <w:pPr>
        <w:pStyle w:val="ListParagraph"/>
        <w:numPr>
          <w:ilvl w:val="0"/>
          <w:numId w:val="2"/>
        </w:numPr>
        <w:spacing w:after="60" w:line="260"/>
      </w:pPr>
      <w:r>
        <w:rPr>
          <w:rFonts w:ascii="Calibri" w:cs="Calibri" w:eastAsia="Calibri" w:hAnsi="Calibri"/>
          <w:sz w:val="20"/>
          <w:szCs w:val="20"/>
        </w:rPr>
        <w:t xml:space="preserve">Plafond : ≥ 1 M€ par sinistre en An 1, ≥ 5 M€ en An 3.</w:t>
      </w:r>
    </w:p>
    <w:p>
      <w:pPr>
        <w:pStyle w:val="ListParagraph"/>
        <w:numPr>
          <w:ilvl w:val="0"/>
          <w:numId w:val="2"/>
        </w:numPr>
        <w:spacing w:after="60" w:line="260"/>
      </w:pPr>
      <w:r>
        <w:rPr>
          <w:rFonts w:ascii="Calibri" w:cs="Calibri" w:eastAsia="Calibri" w:hAnsi="Calibri"/>
          <w:sz w:val="20"/>
          <w:szCs w:val="20"/>
        </w:rPr>
        <w:t xml:space="preserve">Coût : 1 500-3 000 €/an selon plafond.</w:t>
      </w:r>
    </w:p>
    <w:p>
      <w:pPr>
        <w:pStyle w:val="ListParagraph"/>
        <w:numPr>
          <w:ilvl w:val="0"/>
          <w:numId w:val="2"/>
        </w:numPr>
        <w:spacing w:after="60" w:line="260"/>
      </w:pPr>
      <w:r>
        <w:rPr>
          <w:rFonts w:ascii="Calibri" w:cs="Calibri" w:eastAsia="Calibri" w:hAnsi="Calibri"/>
          <w:sz w:val="20"/>
          <w:szCs w:val="20"/>
        </w:rPr>
        <w:t xml:space="preserve">Étend la couverture aux administrateurs et représentants légaux.</w:t>
      </w:r>
    </w:p>
    <w:p>
      <w:pPr>
        <w:spacing w:after="160" w:before="240"/>
      </w:pPr>
      <w:r>
        <w:rPr>
          <w:rFonts w:ascii="Calibri" w:cs="Calibri" w:eastAsia="Calibri" w:hAnsi="Calibri"/>
          <w:b/>
          <w:bCs/>
          <w:color w:val="1F4E79"/>
          <w:sz w:val="32"/>
          <w:szCs w:val="32"/>
        </w:rPr>
        <w:t xml:space="preserve">4. Couvertures complémentaires à étudier (An 2-3)</w:t>
      </w:r>
    </w:p>
    <w:p>
      <w:pPr>
        <w:spacing w:after="100" w:before="220"/>
      </w:pPr>
      <w:r>
        <w:rPr>
          <w:rFonts w:ascii="Calibri" w:cs="Calibri" w:eastAsia="Calibri" w:hAnsi="Calibri"/>
          <w:b/>
          <w:bCs/>
          <w:color w:val="E87722"/>
          <w:sz w:val="22"/>
          <w:szCs w:val="22"/>
        </w:rPr>
        <w:t xml:space="preserve">4.1. Pertes d'exploitation</w:t>
      </w:r>
    </w:p>
    <w:p>
      <w:pPr>
        <w:pStyle w:val="ListParagraph"/>
        <w:numPr>
          <w:ilvl w:val="0"/>
          <w:numId w:val="2"/>
        </w:numPr>
        <w:spacing w:after="60" w:line="260"/>
      </w:pPr>
      <w:r>
        <w:rPr>
          <w:rFonts w:ascii="Calibri" w:cs="Calibri" w:eastAsia="Calibri" w:hAnsi="Calibri"/>
          <w:sz w:val="20"/>
          <w:szCs w:val="20"/>
        </w:rPr>
        <w:t xml:space="preserve">Couvre la perte de marge brute en cas d'arrêt forcé d'activité.</w:t>
      </w:r>
    </w:p>
    <w:p>
      <w:pPr>
        <w:pStyle w:val="ListParagraph"/>
        <w:numPr>
          <w:ilvl w:val="0"/>
          <w:numId w:val="2"/>
        </w:numPr>
        <w:spacing w:after="60" w:line="260"/>
      </w:pPr>
      <w:r>
        <w:rPr>
          <w:rFonts w:ascii="Calibri" w:cs="Calibri" w:eastAsia="Calibri" w:hAnsi="Calibri"/>
          <w:sz w:val="20"/>
          <w:szCs w:val="20"/>
        </w:rPr>
        <w:t xml:space="preserve">Pertinent à partir d'An 2 (CA &gt; 2 M€).</w:t>
      </w:r>
    </w:p>
    <w:p>
      <w:pPr>
        <w:pStyle w:val="ListParagraph"/>
        <w:numPr>
          <w:ilvl w:val="0"/>
          <w:numId w:val="2"/>
        </w:numPr>
        <w:spacing w:after="60" w:line="260"/>
      </w:pPr>
      <w:r>
        <w:rPr>
          <w:rFonts w:ascii="Calibri" w:cs="Calibri" w:eastAsia="Calibri" w:hAnsi="Calibri"/>
          <w:sz w:val="20"/>
          <w:szCs w:val="20"/>
        </w:rPr>
        <w:t xml:space="preserve">Coût : ≈ 0,5 % du CA annuel.</w:t>
      </w:r>
    </w:p>
    <w:p>
      <w:pPr>
        <w:spacing w:after="100" w:before="220"/>
      </w:pPr>
      <w:r>
        <w:rPr>
          <w:rFonts w:ascii="Calibri" w:cs="Calibri" w:eastAsia="Calibri" w:hAnsi="Calibri"/>
          <w:b/>
          <w:bCs/>
          <w:color w:val="E87722"/>
          <w:sz w:val="22"/>
          <w:szCs w:val="22"/>
        </w:rPr>
        <w:t xml:space="preserve">4.2. Garantie homme-clé</w:t>
      </w:r>
    </w:p>
    <w:p>
      <w:pPr>
        <w:pStyle w:val="ListParagraph"/>
        <w:numPr>
          <w:ilvl w:val="0"/>
          <w:numId w:val="2"/>
        </w:numPr>
        <w:spacing w:after="60" w:line="260"/>
      </w:pPr>
      <w:r>
        <w:rPr>
          <w:rFonts w:ascii="Calibri" w:cs="Calibri" w:eastAsia="Calibri" w:hAnsi="Calibri"/>
          <w:sz w:val="20"/>
          <w:szCs w:val="20"/>
        </w:rPr>
        <w:t xml:space="preserve">Couvre la perte financière en cas d'incapacité ou décès du dirigeant.</w:t>
      </w:r>
    </w:p>
    <w:p>
      <w:pPr>
        <w:pStyle w:val="ListParagraph"/>
        <w:numPr>
          <w:ilvl w:val="0"/>
          <w:numId w:val="2"/>
        </w:numPr>
        <w:spacing w:after="60" w:line="260"/>
      </w:pPr>
      <w:r>
        <w:rPr>
          <w:rFonts w:ascii="Calibri" w:cs="Calibri" w:eastAsia="Calibri" w:hAnsi="Calibri"/>
          <w:sz w:val="20"/>
          <w:szCs w:val="20"/>
        </w:rPr>
        <w:t xml:space="preserve">Pertinent dès An 2 (Eventy fortement dépendante du Président).</w:t>
      </w:r>
    </w:p>
    <w:p>
      <w:pPr>
        <w:pStyle w:val="ListParagraph"/>
        <w:numPr>
          <w:ilvl w:val="0"/>
          <w:numId w:val="2"/>
        </w:numPr>
        <w:spacing w:after="60" w:line="260"/>
      </w:pPr>
      <w:r>
        <w:rPr>
          <w:rFonts w:ascii="Calibri" w:cs="Calibri" w:eastAsia="Calibri" w:hAnsi="Calibri"/>
          <w:sz w:val="20"/>
          <w:szCs w:val="20"/>
        </w:rPr>
        <w:t xml:space="preserve">Plafond : ≥ 500 K€.</w:t>
      </w:r>
    </w:p>
    <w:p>
      <w:pPr>
        <w:pStyle w:val="ListParagraph"/>
        <w:numPr>
          <w:ilvl w:val="0"/>
          <w:numId w:val="2"/>
        </w:numPr>
        <w:spacing w:after="60" w:line="260"/>
      </w:pPr>
      <w:r>
        <w:rPr>
          <w:rFonts w:ascii="Calibri" w:cs="Calibri" w:eastAsia="Calibri" w:hAnsi="Calibri"/>
          <w:sz w:val="20"/>
          <w:szCs w:val="20"/>
        </w:rPr>
        <w:t xml:space="preserve">Coût : 1 500-3 000 €/an.</w:t>
      </w:r>
    </w:p>
    <w:p>
      <w:pPr>
        <w:spacing w:after="100" w:before="220"/>
      </w:pPr>
      <w:r>
        <w:rPr>
          <w:rFonts w:ascii="Calibri" w:cs="Calibri" w:eastAsia="Calibri" w:hAnsi="Calibri"/>
          <w:b/>
          <w:bCs/>
          <w:color w:val="E87722"/>
          <w:sz w:val="22"/>
          <w:szCs w:val="22"/>
        </w:rPr>
        <w:t xml:space="preserve">4.3. Crédit-export</w:t>
      </w:r>
    </w:p>
    <w:p>
      <w:pPr>
        <w:pStyle w:val="ListParagraph"/>
        <w:numPr>
          <w:ilvl w:val="0"/>
          <w:numId w:val="2"/>
        </w:numPr>
        <w:spacing w:after="60" w:line="260"/>
      </w:pPr>
      <w:r>
        <w:rPr>
          <w:rFonts w:ascii="Calibri" w:cs="Calibri" w:eastAsia="Calibri" w:hAnsi="Calibri"/>
          <w:sz w:val="20"/>
          <w:szCs w:val="20"/>
        </w:rPr>
        <w:t xml:space="preserve">Pour la phase d'expansion internationale (cohérence Plan d'expansion internationale).</w:t>
      </w:r>
    </w:p>
    <w:p>
      <w:pPr>
        <w:pStyle w:val="ListParagraph"/>
        <w:numPr>
          <w:ilvl w:val="0"/>
          <w:numId w:val="2"/>
        </w:numPr>
        <w:spacing w:after="60" w:line="260"/>
      </w:pPr>
      <w:r>
        <w:rPr>
          <w:rFonts w:ascii="Calibri" w:cs="Calibri" w:eastAsia="Calibri" w:hAnsi="Calibri"/>
          <w:sz w:val="20"/>
          <w:szCs w:val="20"/>
        </w:rPr>
        <w:t xml:space="preserve">Couvre les impayés voyageurs étrangers.</w:t>
      </w:r>
    </w:p>
    <w:p>
      <w:pPr>
        <w:pStyle w:val="ListParagraph"/>
        <w:numPr>
          <w:ilvl w:val="0"/>
          <w:numId w:val="2"/>
        </w:numPr>
        <w:spacing w:after="60" w:line="260"/>
      </w:pPr>
      <w:r>
        <w:rPr>
          <w:rFonts w:ascii="Calibri" w:cs="Calibri" w:eastAsia="Calibri" w:hAnsi="Calibri"/>
          <w:sz w:val="20"/>
          <w:szCs w:val="20"/>
        </w:rPr>
        <w:t xml:space="preserve">À étudier en An 3+.</w:t>
      </w:r>
    </w:p>
    <w:p>
      <w:pPr>
        <w:spacing w:after="160" w:before="240"/>
      </w:pPr>
      <w:r>
        <w:rPr>
          <w:rFonts w:ascii="Calibri" w:cs="Calibri" w:eastAsia="Calibri" w:hAnsi="Calibri"/>
          <w:b/>
          <w:bCs/>
          <w:color w:val="1F4E79"/>
          <w:sz w:val="32"/>
          <w:szCs w:val="32"/>
        </w:rPr>
        <w:t xml:space="preserve">5. Gouvernance des assurances</w:t>
      </w:r>
    </w:p>
    <w:p>
      <w:pPr>
        <w:spacing w:after="100" w:before="220"/>
      </w:pPr>
      <w:r>
        <w:rPr>
          <w:rFonts w:ascii="Calibri" w:cs="Calibri" w:eastAsia="Calibri" w:hAnsi="Calibri"/>
          <w:b/>
          <w:bCs/>
          <w:color w:val="E87722"/>
          <w:sz w:val="22"/>
          <w:szCs w:val="22"/>
        </w:rPr>
        <w:t xml:space="preserve">5.1. Référent</w:t>
      </w:r>
    </w:p>
    <w:p>
      <w:pPr>
        <w:pStyle w:val="ListParagraph"/>
        <w:numPr>
          <w:ilvl w:val="0"/>
          <w:numId w:val="2"/>
        </w:numPr>
        <w:spacing w:after="60" w:line="260"/>
      </w:pPr>
      <w:r>
        <w:rPr>
          <w:rFonts w:ascii="Calibri" w:cs="Calibri" w:eastAsia="Calibri" w:hAnsi="Calibri"/>
          <w:sz w:val="20"/>
          <w:szCs w:val="20"/>
        </w:rPr>
        <w:t xml:space="preserve">Président en An 1.</w:t>
      </w:r>
    </w:p>
    <w:p>
      <w:pPr>
        <w:pStyle w:val="ListParagraph"/>
        <w:numPr>
          <w:ilvl w:val="0"/>
          <w:numId w:val="2"/>
        </w:numPr>
        <w:spacing w:after="60" w:line="260"/>
      </w:pPr>
      <w:r>
        <w:rPr>
          <w:rFonts w:ascii="Calibri" w:cs="Calibri" w:eastAsia="Calibri" w:hAnsi="Calibri"/>
          <w:sz w:val="20"/>
          <w:szCs w:val="20"/>
        </w:rPr>
        <w:t xml:space="preserve">DAF / RAF en An 3+ (recrutement progressif).</w:t>
      </w:r>
    </w:p>
    <w:p>
      <w:pPr>
        <w:pStyle w:val="ListParagraph"/>
        <w:numPr>
          <w:ilvl w:val="0"/>
          <w:numId w:val="2"/>
        </w:numPr>
        <w:spacing w:after="60" w:line="260"/>
      </w:pPr>
      <w:r>
        <w:rPr>
          <w:rFonts w:ascii="Calibri" w:cs="Calibri" w:eastAsia="Calibri" w:hAnsi="Calibri"/>
          <w:sz w:val="20"/>
          <w:szCs w:val="20"/>
        </w:rPr>
        <w:t xml:space="preserve">Conseil externe : courtier d'assurance spécialisé tourisme.</w:t>
      </w:r>
    </w:p>
    <w:p>
      <w:pPr>
        <w:spacing w:after="100" w:before="220"/>
      </w:pPr>
      <w:r>
        <w:rPr>
          <w:rFonts w:ascii="Calibri" w:cs="Calibri" w:eastAsia="Calibri" w:hAnsi="Calibri"/>
          <w:b/>
          <w:bCs/>
          <w:color w:val="E87722"/>
          <w:sz w:val="22"/>
          <w:szCs w:val="22"/>
        </w:rPr>
        <w:t xml:space="preserve">5.2. Revue annuelle</w:t>
      </w:r>
    </w:p>
    <w:p>
      <w:pPr>
        <w:pStyle w:val="ListParagraph"/>
        <w:numPr>
          <w:ilvl w:val="0"/>
          <w:numId w:val="2"/>
        </w:numPr>
        <w:spacing w:after="60" w:line="260"/>
      </w:pPr>
      <w:r>
        <w:rPr>
          <w:rFonts w:ascii="Calibri" w:cs="Calibri" w:eastAsia="Calibri" w:hAnsi="Calibri"/>
          <w:sz w:val="20"/>
          <w:szCs w:val="20"/>
        </w:rPr>
        <w:t xml:space="preserve">Audit annuel de toutes les couvertures (T1).</w:t>
      </w:r>
    </w:p>
    <w:p>
      <w:pPr>
        <w:pStyle w:val="ListParagraph"/>
        <w:numPr>
          <w:ilvl w:val="0"/>
          <w:numId w:val="2"/>
        </w:numPr>
        <w:spacing w:after="60" w:line="260"/>
      </w:pPr>
      <w:r>
        <w:rPr>
          <w:rFonts w:ascii="Calibri" w:cs="Calibri" w:eastAsia="Calibri" w:hAnsi="Calibri"/>
          <w:sz w:val="20"/>
          <w:szCs w:val="20"/>
        </w:rPr>
        <w:t xml:space="preserve">Renégociation des contrats à échéance.</w:t>
      </w:r>
    </w:p>
    <w:p>
      <w:pPr>
        <w:pStyle w:val="ListParagraph"/>
        <w:numPr>
          <w:ilvl w:val="0"/>
          <w:numId w:val="2"/>
        </w:numPr>
        <w:spacing w:after="60" w:line="260"/>
      </w:pPr>
      <w:r>
        <w:rPr>
          <w:rFonts w:ascii="Calibri" w:cs="Calibri" w:eastAsia="Calibri" w:hAnsi="Calibri"/>
          <w:sz w:val="20"/>
          <w:szCs w:val="20"/>
        </w:rPr>
        <w:t xml:space="preserve">Ajustement plafonds selon évolution CA et risques.</w:t>
      </w:r>
    </w:p>
    <w:p>
      <w:pPr>
        <w:pStyle w:val="ListParagraph"/>
        <w:numPr>
          <w:ilvl w:val="0"/>
          <w:numId w:val="2"/>
        </w:numPr>
        <w:spacing w:after="60" w:line="260"/>
      </w:pPr>
      <w:r>
        <w:rPr>
          <w:rFonts w:ascii="Calibri" w:cs="Calibri" w:eastAsia="Calibri" w:hAnsi="Calibri"/>
          <w:sz w:val="20"/>
          <w:szCs w:val="20"/>
        </w:rPr>
        <w:t xml:space="preserve">Cohérence avec audit interne (cohérence Plan d'audit interne).</w:t>
      </w:r>
    </w:p>
    <w:p>
      <w:pPr>
        <w:spacing w:after="100" w:before="220"/>
      </w:pPr>
      <w:r>
        <w:rPr>
          <w:rFonts w:ascii="Calibri" w:cs="Calibri" w:eastAsia="Calibri" w:hAnsi="Calibri"/>
          <w:b/>
          <w:bCs/>
          <w:color w:val="E87722"/>
          <w:sz w:val="22"/>
          <w:szCs w:val="22"/>
        </w:rPr>
        <w:t xml:space="preserve">5.3. Sinistre — procédure</w:t>
      </w:r>
    </w:p>
    <w:p>
      <w:pPr>
        <w:pStyle w:val="ListParagraph"/>
        <w:numPr>
          <w:ilvl w:val="0"/>
          <w:numId w:val="2"/>
        </w:numPr>
        <w:spacing w:after="60" w:line="260"/>
      </w:pPr>
      <w:r>
        <w:rPr>
          <w:rFonts w:ascii="Calibri" w:cs="Calibri" w:eastAsia="Calibri" w:hAnsi="Calibri"/>
          <w:sz w:val="20"/>
          <w:szCs w:val="20"/>
        </w:rPr>
        <w:t xml:space="preserve">Déclaration immédiate à l'assureur (sous 5 jours ouvrés).</w:t>
      </w:r>
    </w:p>
    <w:p>
      <w:pPr>
        <w:pStyle w:val="ListParagraph"/>
        <w:numPr>
          <w:ilvl w:val="0"/>
          <w:numId w:val="2"/>
        </w:numPr>
        <w:spacing w:after="60" w:line="260"/>
      </w:pPr>
      <w:r>
        <w:rPr>
          <w:rFonts w:ascii="Calibri" w:cs="Calibri" w:eastAsia="Calibri" w:hAnsi="Calibri"/>
          <w:sz w:val="20"/>
          <w:szCs w:val="20"/>
        </w:rPr>
        <w:t xml:space="preserve">Documentation rigoureuse (faits, preuves, témoins).</w:t>
      </w:r>
    </w:p>
    <w:p>
      <w:pPr>
        <w:pStyle w:val="ListParagraph"/>
        <w:numPr>
          <w:ilvl w:val="0"/>
          <w:numId w:val="2"/>
        </w:numPr>
        <w:spacing w:after="60" w:line="260"/>
      </w:pPr>
      <w:r>
        <w:rPr>
          <w:rFonts w:ascii="Calibri" w:cs="Calibri" w:eastAsia="Calibri" w:hAnsi="Calibri"/>
          <w:sz w:val="20"/>
          <w:szCs w:val="20"/>
        </w:rPr>
        <w:t xml:space="preserve">Coordination avec avocat tourisme (cohérence Note avocat tourisme).</w:t>
      </w:r>
    </w:p>
    <w:p>
      <w:pPr>
        <w:pStyle w:val="ListParagraph"/>
        <w:numPr>
          <w:ilvl w:val="0"/>
          <w:numId w:val="2"/>
        </w:numPr>
        <w:spacing w:after="60" w:line="260"/>
      </w:pPr>
      <w:r>
        <w:rPr>
          <w:rFonts w:ascii="Calibri" w:cs="Calibri" w:eastAsia="Calibri" w:hAnsi="Calibri"/>
          <w:sz w:val="20"/>
          <w:szCs w:val="20"/>
        </w:rPr>
        <w:t xml:space="preserve">Reporting Atout France et APST si applicable.</w:t>
      </w:r>
    </w:p>
    <w:p>
      <w:pPr>
        <w:pStyle w:val="ListParagraph"/>
        <w:numPr>
          <w:ilvl w:val="0"/>
          <w:numId w:val="2"/>
        </w:numPr>
        <w:spacing w:after="60" w:line="260"/>
      </w:pPr>
      <w:r>
        <w:rPr>
          <w:rFonts w:ascii="Calibri" w:cs="Calibri" w:eastAsia="Calibri" w:hAnsi="Calibri"/>
          <w:sz w:val="20"/>
          <w:szCs w:val="20"/>
        </w:rPr>
        <w:t xml:space="preserve">Activation du Plan de continuité d'activité si critique.</w:t>
      </w:r>
    </w:p>
    <w:p>
      <w:pPr>
        <w:spacing w:after="160" w:before="240"/>
      </w:pPr>
      <w:r>
        <w:rPr>
          <w:rFonts w:ascii="Calibri" w:cs="Calibri" w:eastAsia="Calibri" w:hAnsi="Calibri"/>
          <w:b/>
          <w:bCs/>
          <w:color w:val="1F4E79"/>
          <w:sz w:val="32"/>
          <w:szCs w:val="32"/>
        </w:rPr>
        <w:t xml:space="preserve">6. Choix d'assureurs</w:t>
      </w:r>
    </w:p>
    <w:p>
      <w:pPr>
        <w:spacing w:after="100" w:before="220"/>
      </w:pPr>
      <w:r>
        <w:rPr>
          <w:rFonts w:ascii="Calibri" w:cs="Calibri" w:eastAsia="Calibri" w:hAnsi="Calibri"/>
          <w:b/>
          <w:bCs/>
          <w:color w:val="E87722"/>
          <w:sz w:val="22"/>
          <w:szCs w:val="22"/>
        </w:rPr>
        <w:t xml:space="preserve">6.1. Critères de sélection</w:t>
      </w:r>
    </w:p>
    <w:p>
      <w:pPr>
        <w:pStyle w:val="ListParagraph"/>
        <w:numPr>
          <w:ilvl w:val="0"/>
          <w:numId w:val="2"/>
        </w:numPr>
        <w:spacing w:after="60" w:line="260"/>
      </w:pPr>
      <w:r>
        <w:rPr>
          <w:rFonts w:ascii="Calibri" w:cs="Calibri" w:eastAsia="Calibri" w:hAnsi="Calibri"/>
          <w:sz w:val="20"/>
          <w:szCs w:val="20"/>
        </w:rPr>
        <w:t xml:space="preserve">Spécialisation tourisme (compréhension du métier).</w:t>
      </w:r>
    </w:p>
    <w:p>
      <w:pPr>
        <w:pStyle w:val="ListParagraph"/>
        <w:numPr>
          <w:ilvl w:val="0"/>
          <w:numId w:val="2"/>
        </w:numPr>
        <w:spacing w:after="60" w:line="260"/>
      </w:pPr>
      <w:r>
        <w:rPr>
          <w:rFonts w:ascii="Calibri" w:cs="Calibri" w:eastAsia="Calibri" w:hAnsi="Calibri"/>
          <w:sz w:val="20"/>
          <w:szCs w:val="20"/>
        </w:rPr>
        <w:t xml:space="preserve">Solidité financière (rating agences notation).</w:t>
      </w:r>
    </w:p>
    <w:p>
      <w:pPr>
        <w:pStyle w:val="ListParagraph"/>
        <w:numPr>
          <w:ilvl w:val="0"/>
          <w:numId w:val="2"/>
        </w:numPr>
        <w:spacing w:after="60" w:line="260"/>
      </w:pPr>
      <w:r>
        <w:rPr>
          <w:rFonts w:ascii="Calibri" w:cs="Calibri" w:eastAsia="Calibri" w:hAnsi="Calibri"/>
          <w:sz w:val="20"/>
          <w:szCs w:val="20"/>
        </w:rPr>
        <w:t xml:space="preserve">Qualité du service sinistre (réactivité, expérience clients).</w:t>
      </w:r>
    </w:p>
    <w:p>
      <w:pPr>
        <w:pStyle w:val="ListParagraph"/>
        <w:numPr>
          <w:ilvl w:val="0"/>
          <w:numId w:val="2"/>
        </w:numPr>
        <w:spacing w:after="60" w:line="260"/>
      </w:pPr>
      <w:r>
        <w:rPr>
          <w:rFonts w:ascii="Calibri" w:cs="Calibri" w:eastAsia="Calibri" w:hAnsi="Calibri"/>
          <w:sz w:val="20"/>
          <w:szCs w:val="20"/>
        </w:rPr>
        <w:t xml:space="preserve">Compétitivité tarifaire.</w:t>
      </w:r>
    </w:p>
    <w:p>
      <w:pPr>
        <w:pStyle w:val="ListParagraph"/>
        <w:numPr>
          <w:ilvl w:val="0"/>
          <w:numId w:val="2"/>
        </w:numPr>
        <w:spacing w:after="60" w:line="260"/>
      </w:pPr>
      <w:r>
        <w:rPr>
          <w:rFonts w:ascii="Calibri" w:cs="Calibri" w:eastAsia="Calibri" w:hAnsi="Calibri"/>
          <w:sz w:val="20"/>
          <w:szCs w:val="20"/>
        </w:rPr>
        <w:t xml:space="preserve">Souveraineté européenne (préférence assureurs UE).</w:t>
      </w:r>
    </w:p>
    <w:p>
      <w:pPr>
        <w:pStyle w:val="ListParagraph"/>
        <w:numPr>
          <w:ilvl w:val="0"/>
          <w:numId w:val="2"/>
        </w:numPr>
        <w:spacing w:after="60" w:line="260"/>
      </w:pPr>
      <w:r>
        <w:rPr>
          <w:rFonts w:ascii="Calibri" w:cs="Calibri" w:eastAsia="Calibri" w:hAnsi="Calibri"/>
          <w:sz w:val="20"/>
          <w:szCs w:val="20"/>
        </w:rPr>
        <w:t xml:space="preserve">Engagements RSE de l'assureur (cohérence Politique d'achats responsables).</w:t>
      </w:r>
    </w:p>
    <w:p>
      <w:pPr>
        <w:spacing w:after="100" w:before="220"/>
      </w:pPr>
      <w:r>
        <w:rPr>
          <w:rFonts w:ascii="Calibri" w:cs="Calibri" w:eastAsia="Calibri" w:hAnsi="Calibri"/>
          <w:b/>
          <w:bCs/>
          <w:color w:val="E87722"/>
          <w:sz w:val="22"/>
          <w:szCs w:val="22"/>
        </w:rPr>
        <w:t xml:space="preserve">6.2. Refus de courtage à enjeux</w:t>
      </w:r>
    </w:p>
    <w:p>
      <w:pPr>
        <w:pStyle w:val="ListParagraph"/>
        <w:numPr>
          <w:ilvl w:val="0"/>
          <w:numId w:val="2"/>
        </w:numPr>
        <w:spacing w:after="60" w:line="260"/>
      </w:pPr>
      <w:r>
        <w:rPr>
          <w:rFonts w:ascii="Calibri" w:cs="Calibri" w:eastAsia="Calibri" w:hAnsi="Calibri"/>
          <w:sz w:val="20"/>
          <w:szCs w:val="20"/>
        </w:rPr>
        <w:t xml:space="preserve">Refus des courtiers exigeant des commissions cachées.</w:t>
      </w:r>
    </w:p>
    <w:p>
      <w:pPr>
        <w:pStyle w:val="ListParagraph"/>
        <w:numPr>
          <w:ilvl w:val="0"/>
          <w:numId w:val="2"/>
        </w:numPr>
        <w:spacing w:after="60" w:line="260"/>
      </w:pPr>
      <w:r>
        <w:rPr>
          <w:rFonts w:ascii="Calibri" w:cs="Calibri" w:eastAsia="Calibri" w:hAnsi="Calibri"/>
          <w:sz w:val="20"/>
          <w:szCs w:val="20"/>
        </w:rPr>
        <w:t xml:space="preserve">Refus des assureurs ne disposant pas d'agrément ACPR.</w:t>
      </w:r>
    </w:p>
    <w:p>
      <w:pPr>
        <w:pStyle w:val="ListParagraph"/>
        <w:numPr>
          <w:ilvl w:val="0"/>
          <w:numId w:val="2"/>
        </w:numPr>
        <w:spacing w:after="60" w:line="260"/>
      </w:pPr>
      <w:r>
        <w:rPr>
          <w:rFonts w:ascii="Calibri" w:cs="Calibri" w:eastAsia="Calibri" w:hAnsi="Calibri"/>
          <w:sz w:val="20"/>
          <w:szCs w:val="20"/>
        </w:rPr>
        <w:t xml:space="preserve">Cohérence avec Politique anti-corruption.</w:t>
      </w:r>
    </w:p>
    <w:p>
      <w:pPr>
        <w:spacing w:after="160" w:before="240"/>
      </w:pPr>
      <w:r>
        <w:rPr>
          <w:rFonts w:ascii="Calibri" w:cs="Calibri" w:eastAsia="Calibri" w:hAnsi="Calibri"/>
          <w:b/>
          <w:bCs/>
          <w:color w:val="1F4E79"/>
          <w:sz w:val="32"/>
          <w:szCs w:val="32"/>
        </w:rPr>
        <w:t xml:space="preserve">7. Indicateurs assurances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Couvertures actives / minimum requis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Plafonds adéquats au CA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Audité annuellement</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Audité annuellement</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déclaration sinistre</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5 j ouvrés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48 h ouvrées</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Coût total assurances / CA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0,8 %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0,5 %</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Sinistres déclarés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Sinistralité moyenne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r>
    </w:tbl>
    <w:p>
      <w:pPr>
        <w:spacing w:after="160" w:before="240"/>
      </w:pPr>
      <w:r>
        <w:rPr>
          <w:rFonts w:ascii="Calibri" w:cs="Calibri" w:eastAsia="Calibri" w:hAnsi="Calibri"/>
          <w:b/>
          <w:bCs/>
          <w:color w:val="1F4E79"/>
          <w:sz w:val="32"/>
          <w:szCs w:val="32"/>
        </w:rPr>
        <w:t xml:space="preserve">8. Engagements éthiques</w:t>
      </w:r>
    </w:p>
    <w:p>
      <w:pPr>
        <w:pStyle w:val="ListParagraph"/>
        <w:numPr>
          <w:ilvl w:val="0"/>
          <w:numId w:val="2"/>
        </w:numPr>
        <w:spacing w:after="60" w:line="260"/>
      </w:pPr>
      <w:r>
        <w:rPr>
          <w:rFonts w:ascii="Calibri" w:cs="Calibri" w:eastAsia="Calibri" w:hAnsi="Calibri"/>
          <w:sz w:val="20"/>
          <w:szCs w:val="20"/>
        </w:rPr>
        <w:t xml:space="preserve">Transparence sur les couvertures (publication synthétique sur eventylife.fr).</w:t>
      </w:r>
    </w:p>
    <w:p>
      <w:pPr>
        <w:pStyle w:val="ListParagraph"/>
        <w:numPr>
          <w:ilvl w:val="0"/>
          <w:numId w:val="2"/>
        </w:numPr>
        <w:spacing w:after="60" w:line="260"/>
      </w:pPr>
      <w:r>
        <w:rPr>
          <w:rFonts w:ascii="Calibri" w:cs="Calibri" w:eastAsia="Calibri" w:hAnsi="Calibri"/>
          <w:sz w:val="20"/>
          <w:szCs w:val="20"/>
        </w:rPr>
        <w:t xml:space="preserve">Refus de la sous-couverture pour économies (sécurité voyageur prime).</w:t>
      </w:r>
    </w:p>
    <w:p>
      <w:pPr>
        <w:pStyle w:val="ListParagraph"/>
        <w:numPr>
          <w:ilvl w:val="0"/>
          <w:numId w:val="2"/>
        </w:numPr>
        <w:spacing w:after="60" w:line="260"/>
      </w:pPr>
      <w:r>
        <w:rPr>
          <w:rFonts w:ascii="Calibri" w:cs="Calibri" w:eastAsia="Calibri" w:hAnsi="Calibri"/>
          <w:sz w:val="20"/>
          <w:szCs w:val="20"/>
        </w:rPr>
        <w:t xml:space="preserve">Refus de la sur-couverture excessive (gestion sobre).</w:t>
      </w:r>
    </w:p>
    <w:p>
      <w:pPr>
        <w:pStyle w:val="ListParagraph"/>
        <w:numPr>
          <w:ilvl w:val="0"/>
          <w:numId w:val="2"/>
        </w:numPr>
        <w:spacing w:after="60" w:line="260"/>
      </w:pPr>
      <w:r>
        <w:rPr>
          <w:rFonts w:ascii="Calibri" w:cs="Calibri" w:eastAsia="Calibri" w:hAnsi="Calibri"/>
          <w:sz w:val="20"/>
          <w:szCs w:val="20"/>
        </w:rPr>
        <w:t xml:space="preserve">Refus du courtage opaque ou des commissions cachées.</w:t>
      </w:r>
    </w:p>
    <w:p>
      <w:pPr>
        <w:pStyle w:val="ListParagraph"/>
        <w:numPr>
          <w:ilvl w:val="0"/>
          <w:numId w:val="2"/>
        </w:numPr>
        <w:spacing w:after="60" w:line="260"/>
      </w:pPr>
      <w:r>
        <w:rPr>
          <w:rFonts w:ascii="Calibri" w:cs="Calibri" w:eastAsia="Calibri" w:hAnsi="Calibri"/>
          <w:sz w:val="20"/>
          <w:szCs w:val="20"/>
        </w:rPr>
        <w:t xml:space="preserve">Engagement à payer les sinistres légitimes (refus des contestations abusives).</w:t>
      </w:r>
    </w:p>
    <w:p>
      <w:pPr>
        <w:pStyle w:val="ListParagraph"/>
        <w:numPr>
          <w:ilvl w:val="0"/>
          <w:numId w:val="2"/>
        </w:numPr>
        <w:spacing w:after="60" w:line="260"/>
      </w:pPr>
      <w:r>
        <w:rPr>
          <w:rFonts w:ascii="Calibri" w:cs="Calibri" w:eastAsia="Calibri" w:hAnsi="Calibri"/>
          <w:sz w:val="20"/>
          <w:szCs w:val="20"/>
        </w:rPr>
        <w:t xml:space="preserve">Engagement de bonne foi dans les déclarations.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Dossier garantie financière APST, RC Pro, Pack Sérénité, Plan de continuité d'activité, Politique cybersécurité, Politique d'achats responsables, Politique anti-corruption, Manuel d'incident voyage.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Politique assurance globale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Politique d'assurance globale</dc:title>
  <dc:creator>David Eventy — Eventy Life SAS</dc:creator>
  <dc:description>Cartographie des couvertures et stratégie de gestion des risques.</dc:description>
  <cp:lastModifiedBy>Un-named</cp:lastModifiedBy>
  <cp:revision>1</cp:revision>
  <dcterms:created xsi:type="dcterms:W3CDTF">2026-05-02T03:07:57.439Z</dcterms:created>
  <dcterms:modified xsi:type="dcterms:W3CDTF">2026-05-02T03:07:57.441Z</dcterms:modified>
</cp:coreProperties>
</file>

<file path=docProps/custom.xml><?xml version="1.0" encoding="utf-8"?>
<Properties xmlns="http://schemas.openxmlformats.org/officeDocument/2006/custom-properties" xmlns:vt="http://schemas.openxmlformats.org/officeDocument/2006/docPropsVTypes"/>
</file>